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media/image5.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pPr>
      <w:r>
        <mc:AlternateContent>
          <mc:Choice Requires="wps">
            <w:drawing>
              <wp:anchor distT="0" distB="0" distL="114300" distR="114300" simplePos="0" relativeHeight="251661312" behindDoc="0" locked="0" layoutInCell="1" allowOverlap="1">
                <wp:simplePos x="0" y="0"/>
                <wp:positionH relativeFrom="column">
                  <wp:posOffset>321945</wp:posOffset>
                </wp:positionH>
                <wp:positionV relativeFrom="paragraph">
                  <wp:posOffset>5481320</wp:posOffset>
                </wp:positionV>
                <wp:extent cx="5482590" cy="1066800"/>
                <wp:effectExtent l="0" t="0" r="0" b="0"/>
                <wp:wrapNone/>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82590" cy="1066800"/>
                        </a:xfrm>
                        <a:prstGeom prst="rect">
                          <a:avLst/>
                        </a:prstGeom>
                        <a:noFill/>
                        <a:ln w="9525">
                          <a:noFill/>
                          <a:miter lim="800000"/>
                        </a:ln>
                      </wps:spPr>
                      <wps:txbx>
                        <w:txbxContent>
                          <w:p>
                            <w:pPr>
                              <w:spacing w:line="600" w:lineRule="auto"/>
                              <w:jc w:val="left"/>
                              <w:rPr>
                                <w:rFonts w:hint="default" w:ascii="楷体_GB2312" w:hAnsi="楷体_GB2312" w:eastAsia="楷体_GB2312" w:cs="楷体_GB2312"/>
                                <w:color w:val="000000"/>
                                <w:sz w:val="40"/>
                                <w:szCs w:val="40"/>
                                <w:lang w:val="en-US" w:eastAsia="zh-CN"/>
                              </w:rPr>
                            </w:pPr>
                            <w:r>
                              <w:rPr>
                                <w:rFonts w:hint="eastAsia" w:ascii="黑体" w:hAnsi="黑体" w:eastAsia="黑体" w:cs="黑体"/>
                                <w:color w:val="000000"/>
                                <w:sz w:val="40"/>
                                <w:szCs w:val="40"/>
                              </w:rPr>
                              <w:t>预算代码</w:t>
                            </w:r>
                            <w:r>
                              <w:rPr>
                                <w:rFonts w:hint="eastAsia" w:ascii="楷体_GB2312" w:hAnsi="楷体_GB2312" w:eastAsia="楷体_GB2312" w:cs="楷体_GB2312"/>
                                <w:color w:val="000000"/>
                                <w:sz w:val="40"/>
                                <w:szCs w:val="40"/>
                              </w:rPr>
                              <w:t>：</w:t>
                            </w:r>
                            <w:r>
                              <w:rPr>
                                <w:rFonts w:hint="eastAsia" w:ascii="楷体_GB2312" w:hAnsi="楷体_GB2312" w:eastAsia="楷体_GB2312" w:cs="楷体_GB2312"/>
                                <w:color w:val="000000"/>
                                <w:sz w:val="40"/>
                                <w:szCs w:val="40"/>
                                <w:lang w:val="en-US" w:eastAsia="zh-CN"/>
                              </w:rPr>
                              <w:t>326010</w:t>
                            </w:r>
                          </w:p>
                          <w:p>
                            <w:pPr>
                              <w:spacing w:line="600" w:lineRule="auto"/>
                              <w:jc w:val="left"/>
                              <w:rPr>
                                <w:rFonts w:ascii="楷体_GB2312" w:hAnsi="楷体_GB2312" w:eastAsia="楷体_GB2312" w:cs="楷体_GB2312"/>
                                <w:color w:val="000000"/>
                                <w:sz w:val="40"/>
                                <w:szCs w:val="40"/>
                              </w:rPr>
                            </w:pPr>
                            <w:r>
                              <w:rPr>
                                <w:rFonts w:hint="eastAsia" w:ascii="黑体" w:hAnsi="黑体" w:eastAsia="黑体" w:cs="黑体"/>
                                <w:color w:val="000000"/>
                                <w:sz w:val="40"/>
                                <w:szCs w:val="40"/>
                              </w:rPr>
                              <w:t>单位名称</w:t>
                            </w:r>
                            <w:r>
                              <w:rPr>
                                <w:rFonts w:hint="eastAsia" w:ascii="楷体_GB2312" w:hAnsi="楷体_GB2312" w:eastAsia="楷体_GB2312" w:cs="楷体_GB2312"/>
                                <w:color w:val="000000"/>
                                <w:sz w:val="40"/>
                                <w:szCs w:val="40"/>
                              </w:rPr>
                              <w:t>：石家庄循环化工园区医院</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5.35pt;margin-top:431.6pt;height:84pt;width:431.7pt;z-index:251661312;mso-width-relative:page;mso-height-relative:page;" filled="f" stroked="f" coordsize="21600,21600" o:gfxdata="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U&#10;c9Mu1wAAAAsBAAAPAAAAAAAAAAEAIAAAACIAAABkcnMvZG93bnJldi54bWxQSwECFAAUAAAACACH&#10;TuJA8WNTbCUCAAAqBAAADgAAAAAAAAABACAAAAAmAQAAZHJzL2Uyb0RvYy54bWxQSwUGAAAAAAYA&#10;BgBZAQAAvQUAAAAA&#10;">
                <v:fill on="f" focussize="0,0"/>
                <v:stroke on="f" miterlimit="8" joinstyle="miter"/>
                <v:imagedata o:title=""/>
                <o:lock v:ext="edit" aspectratio="f"/>
                <v:textbox>
                  <w:txbxContent>
                    <w:p>
                      <w:pPr>
                        <w:spacing w:line="600" w:lineRule="auto"/>
                        <w:jc w:val="left"/>
                        <w:rPr>
                          <w:rFonts w:hint="default" w:ascii="楷体_GB2312" w:hAnsi="楷体_GB2312" w:eastAsia="楷体_GB2312" w:cs="楷体_GB2312"/>
                          <w:color w:val="000000"/>
                          <w:sz w:val="40"/>
                          <w:szCs w:val="40"/>
                          <w:lang w:val="en-US" w:eastAsia="zh-CN"/>
                        </w:rPr>
                      </w:pPr>
                      <w:r>
                        <w:rPr>
                          <w:rFonts w:hint="eastAsia" w:ascii="黑体" w:hAnsi="黑体" w:eastAsia="黑体" w:cs="黑体"/>
                          <w:color w:val="000000"/>
                          <w:sz w:val="40"/>
                          <w:szCs w:val="40"/>
                        </w:rPr>
                        <w:t>预算代码</w:t>
                      </w:r>
                      <w:r>
                        <w:rPr>
                          <w:rFonts w:hint="eastAsia" w:ascii="楷体_GB2312" w:hAnsi="楷体_GB2312" w:eastAsia="楷体_GB2312" w:cs="楷体_GB2312"/>
                          <w:color w:val="000000"/>
                          <w:sz w:val="40"/>
                          <w:szCs w:val="40"/>
                        </w:rPr>
                        <w:t>：</w:t>
                      </w:r>
                      <w:r>
                        <w:rPr>
                          <w:rFonts w:hint="eastAsia" w:ascii="楷体_GB2312" w:hAnsi="楷体_GB2312" w:eastAsia="楷体_GB2312" w:cs="楷体_GB2312"/>
                          <w:color w:val="000000"/>
                          <w:sz w:val="40"/>
                          <w:szCs w:val="40"/>
                          <w:lang w:val="en-US" w:eastAsia="zh-CN"/>
                        </w:rPr>
                        <w:t>326010</w:t>
                      </w:r>
                    </w:p>
                    <w:p>
                      <w:pPr>
                        <w:spacing w:line="600" w:lineRule="auto"/>
                        <w:jc w:val="left"/>
                        <w:rPr>
                          <w:rFonts w:ascii="楷体_GB2312" w:hAnsi="楷体_GB2312" w:eastAsia="楷体_GB2312" w:cs="楷体_GB2312"/>
                          <w:color w:val="000000"/>
                          <w:sz w:val="40"/>
                          <w:szCs w:val="40"/>
                        </w:rPr>
                      </w:pPr>
                      <w:r>
                        <w:rPr>
                          <w:rFonts w:hint="eastAsia" w:ascii="黑体" w:hAnsi="黑体" w:eastAsia="黑体" w:cs="黑体"/>
                          <w:color w:val="000000"/>
                          <w:sz w:val="40"/>
                          <w:szCs w:val="40"/>
                        </w:rPr>
                        <w:t>单位名称</w:t>
                      </w:r>
                      <w:r>
                        <w:rPr>
                          <w:rFonts w:hint="eastAsia" w:ascii="楷体_GB2312" w:hAnsi="楷体_GB2312" w:eastAsia="楷体_GB2312" w:cs="楷体_GB2312"/>
                          <w:color w:val="000000"/>
                          <w:sz w:val="40"/>
                          <w:szCs w:val="40"/>
                        </w:rPr>
                        <w:t>：石家庄循环化工园区医院</w:t>
                      </w:r>
                    </w:p>
                  </w:txbxContent>
                </v:textbox>
              </v:shape>
            </w:pict>
          </mc:Fallback>
        </mc:AlternateContent>
      </w:r>
      <w:r>
        <w:drawing>
          <wp:anchor distT="0" distB="0" distL="114300" distR="114300" simplePos="0" relativeHeight="251669504" behindDoc="0" locked="0" layoutInCell="1" allowOverlap="1">
            <wp:simplePos x="0" y="0"/>
            <wp:positionH relativeFrom="column">
              <wp:posOffset>2194560</wp:posOffset>
            </wp:positionH>
            <wp:positionV relativeFrom="paragraph">
              <wp:posOffset>2134870</wp:posOffset>
            </wp:positionV>
            <wp:extent cx="2160270" cy="1310640"/>
            <wp:effectExtent l="0" t="0" r="11430" b="3810"/>
            <wp:wrapNone/>
            <wp:docPr id="14" name="https://photo-static-api.fotomore.com/creative/vcg/400/version23/VCG41520173064.jpg" descr="templates\picture_hover\&amp;pky94109459339_sjzg_VCG41520173064&amp;2&amp;src_toppic_droprecent&amp;"/>
            <wp:cNvGraphicFramePr/>
            <a:graphic xmlns:a="http://schemas.openxmlformats.org/drawingml/2006/main">
              <a:graphicData uri="http://schemas.openxmlformats.org/drawingml/2006/picture">
                <pic:pic xmlns:pic="http://schemas.openxmlformats.org/drawingml/2006/picture">
                  <pic:nvPicPr>
                    <pic:cNvPr id="14" name="https://photo-static-api.fotomore.com/creative/vcg/400/version23/VCG41520173064.jpg" descr="templates\picture_hover\&amp;pky94109459339_sjzg_VCG41520173064&amp;2&amp;src_toppic_droprecent&amp;"/>
                    <pic:cNvPicPr/>
                  </pic:nvPicPr>
                  <pic:blipFill>
                    <a:blip r:embed="rId9"/>
                    <a:stretch>
                      <a:fillRect/>
                    </a:stretch>
                  </pic:blipFill>
                  <pic:spPr>
                    <a:xfrm>
                      <a:off x="0" y="0"/>
                      <a:ext cx="2160270" cy="1310640"/>
                    </a:xfrm>
                    <a:prstGeom prst="rect">
                      <a:avLst/>
                    </a:prstGeom>
                  </pic:spPr>
                </pic:pic>
              </a:graphicData>
            </a:graphic>
          </wp:anchor>
        </w:drawing>
      </w:r>
      <w:r>
        <w:drawing>
          <wp:anchor distT="0" distB="0" distL="114300" distR="114300" simplePos="0" relativeHeight="251667456" behindDoc="0" locked="0" layoutInCell="1" allowOverlap="1">
            <wp:simplePos x="0" y="0"/>
            <wp:positionH relativeFrom="column">
              <wp:posOffset>4421505</wp:posOffset>
            </wp:positionH>
            <wp:positionV relativeFrom="paragraph">
              <wp:posOffset>2134870</wp:posOffset>
            </wp:positionV>
            <wp:extent cx="2162810" cy="1310640"/>
            <wp:effectExtent l="0" t="0" r="8890" b="3810"/>
            <wp:wrapNone/>
            <wp:docPr id="8" name="https://photo-static-api.fotomore.com/creative/vcg/400/new/VCG41N1489769134.jpg?uid=386&amp;timestamp=1686554386&amp;sign=5f45ccbb5851510551cea00294a903df" descr="templates\picture_hover\&amp;pky17209834312_sjzg_VCG41N1489769134&amp;2&amp;src_toppic_droprecen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ttps://photo-static-api.fotomore.com/creative/vcg/400/new/VCG41N1489769134.jpg?uid=386&amp;timestamp=1686554386&amp;sign=5f45ccbb5851510551cea00294a903df" descr="templates\picture_hover\&amp;pky17209834312_sjzg_VCG41N1489769134&amp;2&amp;src_toppic_droprecent&amp;"/>
                    <pic:cNvPicPr>
                      <a:picLocks noChangeAspect="1"/>
                    </pic:cNvPicPr>
                  </pic:nvPicPr>
                  <pic:blipFill>
                    <a:blip r:embed="rId10"/>
                    <a:stretch>
                      <a:fillRect/>
                    </a:stretch>
                  </pic:blipFill>
                  <pic:spPr>
                    <a:xfrm>
                      <a:off x="0" y="0"/>
                      <a:ext cx="2162810" cy="1310640"/>
                    </a:xfrm>
                    <a:prstGeom prst="rect">
                      <a:avLst/>
                    </a:prstGeom>
                  </pic:spPr>
                </pic:pic>
              </a:graphicData>
            </a:graphic>
          </wp:anchor>
        </w:drawing>
      </w:r>
      <w:r>
        <mc:AlternateContent>
          <mc:Choice Requires="wpg">
            <w:drawing>
              <wp:anchor distT="0" distB="0" distL="114300" distR="114300" simplePos="0" relativeHeight="251665408" behindDoc="0" locked="0" layoutInCell="1" allowOverlap="1">
                <wp:simplePos x="0" y="0"/>
                <wp:positionH relativeFrom="column">
                  <wp:posOffset>-2453005</wp:posOffset>
                </wp:positionH>
                <wp:positionV relativeFrom="paragraph">
                  <wp:posOffset>2132330</wp:posOffset>
                </wp:positionV>
                <wp:extent cx="9053195" cy="1447165"/>
                <wp:effectExtent l="0" t="0" r="14605" b="635"/>
                <wp:wrapNone/>
                <wp:docPr id="2" name="组合 2"/>
                <wp:cNvGraphicFramePr/>
                <a:graphic xmlns:a="http://schemas.openxmlformats.org/drawingml/2006/main">
                  <a:graphicData uri="http://schemas.microsoft.com/office/word/2010/wordprocessingGroup">
                    <wpg:wgp>
                      <wpg:cNvGrpSpPr/>
                      <wpg:grpSpPr>
                        <a:xfrm>
                          <a:off x="0" y="0"/>
                          <a:ext cx="9053195" cy="1447017"/>
                          <a:chOff x="-3504" y="4387"/>
                          <a:chExt cx="19200" cy="2716"/>
                        </a:xfrm>
                      </wpg:grpSpPr>
                      <wps:wsp>
                        <wps:cNvPr id="3075" name="矩形 19"/>
                        <wps:cNvSpPr/>
                        <wps:spPr>
                          <a:xfrm>
                            <a:off x="-381" y="4387"/>
                            <a:ext cx="1834" cy="2457"/>
                          </a:xfrm>
                          <a:prstGeom prst="rect">
                            <a:avLst/>
                          </a:prstGeom>
                          <a:solidFill>
                            <a:srgbClr val="0176AB"/>
                          </a:solidFill>
                          <a:ln w="9525">
                            <a:noFill/>
                          </a:ln>
                        </wps:spPr>
                        <wps:bodyPr anchor="ctr" anchorCtr="0"/>
                      </wps:wsp>
                      <wps:wsp>
                        <wps:cNvPr id="3079" name="矩形 24"/>
                        <wps:cNvSpPr/>
                        <wps:spPr>
                          <a:xfrm>
                            <a:off x="-3504" y="6953"/>
                            <a:ext cx="11815" cy="150"/>
                          </a:xfrm>
                          <a:custGeom>
                            <a:avLst/>
                            <a:gdLst/>
                            <a:ahLst/>
                            <a:cxnLst>
                              <a:cxn ang="0">
                                <a:pos x="0" y="0"/>
                              </a:cxn>
                              <a:cxn ang="0">
                                <a:pos x="7463453" y="6619"/>
                              </a:cxn>
                              <a:cxn ang="0">
                                <a:pos x="7506490" y="98604"/>
                              </a:cxn>
                              <a:cxn ang="0">
                                <a:pos x="0" y="98604"/>
                              </a:cxn>
                              <a:cxn ang="0">
                                <a:pos x="0" y="0"/>
                              </a:cxn>
                            </a:cxnLst>
                            <a:rect l="0" t="0" r="0" b="0"/>
                            <a:pathLst>
                              <a:path w="7501732" h="94593">
                                <a:moveTo>
                                  <a:pt x="0" y="0"/>
                                </a:moveTo>
                                <a:lnTo>
                                  <a:pt x="7458720" y="6350"/>
                                </a:lnTo>
                                <a:lnTo>
                                  <a:pt x="7501732" y="94593"/>
                                </a:lnTo>
                                <a:lnTo>
                                  <a:pt x="0" y="94593"/>
                                </a:lnTo>
                                <a:lnTo>
                                  <a:pt x="0" y="0"/>
                                </a:lnTo>
                                <a:close/>
                              </a:path>
                            </a:pathLst>
                          </a:custGeom>
                          <a:solidFill>
                            <a:srgbClr val="E5AA57">
                              <a:alpha val="100000"/>
                            </a:srgbClr>
                          </a:solidFill>
                          <a:ln w="9525">
                            <a:noFill/>
                          </a:ln>
                        </wps:spPr>
                        <wps:bodyPr/>
                      </wps:wsp>
                      <wps:wsp>
                        <wps:cNvPr id="3080" name="矩形 25"/>
                        <wps:cNvSpPr/>
                        <wps:spPr>
                          <a:xfrm>
                            <a:off x="8331" y="6953"/>
                            <a:ext cx="7365" cy="150"/>
                          </a:xfrm>
                          <a:custGeom>
                            <a:avLst/>
                            <a:gdLst/>
                            <a:ahLst/>
                            <a:cxnLst>
                              <a:cxn ang="0">
                                <a:pos x="0" y="0"/>
                              </a:cxn>
                              <a:cxn ang="0">
                                <a:pos x="4679715" y="0"/>
                              </a:cxn>
                              <a:cxn ang="0">
                                <a:pos x="4679715" y="98599"/>
                              </a:cxn>
                              <a:cxn ang="0">
                                <a:pos x="57552" y="98599"/>
                              </a:cxn>
                              <a:cxn ang="0">
                                <a:pos x="0" y="0"/>
                              </a:cxn>
                            </a:cxnLst>
                            <a:rect l="0" t="0" r="0" b="0"/>
                            <a:pathLst>
                              <a:path w="4676187" h="94594">
                                <a:moveTo>
                                  <a:pt x="0" y="0"/>
                                </a:moveTo>
                                <a:lnTo>
                                  <a:pt x="4676187" y="0"/>
                                </a:lnTo>
                                <a:lnTo>
                                  <a:pt x="4676187" y="94594"/>
                                </a:lnTo>
                                <a:lnTo>
                                  <a:pt x="57510" y="94594"/>
                                </a:lnTo>
                                <a:lnTo>
                                  <a:pt x="0" y="0"/>
                                </a:lnTo>
                                <a:close/>
                              </a:path>
                            </a:pathLst>
                          </a:custGeom>
                          <a:solidFill>
                            <a:srgbClr val="0176AB">
                              <a:alpha val="100000"/>
                            </a:srgbClr>
                          </a:solidFill>
                          <a:ln w="9525">
                            <a:noFill/>
                          </a:ln>
                        </wps:spPr>
                        <wps:bodyPr/>
                      </wps:wsp>
                    </wpg:wgp>
                  </a:graphicData>
                </a:graphic>
              </wp:anchor>
            </w:drawing>
          </mc:Choice>
          <mc:Fallback>
            <w:pict>
              <v:group id="_x0000_s1026" o:spid="_x0000_s1026" o:spt="203" style="position:absolute;left:0pt;margin-left:-193.15pt;margin-top:167.9pt;height:113.95pt;width:712.85pt;z-index:251665408;mso-width-relative:page;mso-height-relative:page;" coordorigin="-3504,4387" coordsize="19200,2716" o:gfxdata="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">
                <o:lock v:ext="edit" aspectratio="f"/>
                <v:rect id="矩形 19" o:spid="_x0000_s1026" o:spt="1" style="position:absolute;left:-381;top:4387;height:2457;width:1834;v-text-anchor:middle;" fillcolor="#0176AB" filled="t" stroked="f" coordsize="21600,21600" o:gfxdata="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f+P3v&#10;wAAAAN0AAAAPAAAAAAAAAAEAIAAAACIAAABkcnMvZG93bnJldi54bWxQSwECFAAUAAAACACHTuJA&#10;My8FnjsAAAA5AAAAEAAAAAAAAAABACAAAAAPAQAAZHJzL3NoYXBleG1sLnhtbFBLBQYAAAAABgAG&#10;AFsBAAC5AwAAAAA=&#10;">
                  <v:fill on="t" focussize="0,0"/>
                  <v:stroke on="f"/>
                  <v:imagedata o:title=""/>
                  <o:lock v:ext="edit" aspectratio="f"/>
                </v:rect>
                <v:shape id="矩形 24" o:spid="_x0000_s1026" o:spt="100" style="position:absolute;left:-3504;top:6953;height:150;width:11815;" fillcolor="#E5AA57" filled="t" stroked="f" coordsize="7501732,94593" o:gfxdata="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8dX6O&#10;wAAAAN0AAAAPAAAAAAAAAAEAIAAAACIAAABkcnMvZG93bnJldi54bWxQSwECFAAUAAAACACHTuJA&#10;My8FnjsAAAA5AAAAEAAAAAAAAAABACAAAAAPAQAAZHJzL3NoYXBleG1sLnhtbFBLBQYAAAAABgAG&#10;AFsBAAC5AwAAAAA=&#10;" path="m0,0l7458720,6350,7501732,94593,0,94593,0,0xe">
                  <v:path o:connectlocs="0,0;7463453,6619;7506490,98604;0,98604;0,0" o:connectangles="0,0,0,0,0"/>
                  <v:fill on="t" focussize="0,0"/>
                  <v:stroke on="f"/>
                  <v:imagedata o:title=""/>
                  <o:lock v:ext="edit" aspectratio="f"/>
                </v:shape>
                <v:shape id="矩形 25" o:spid="_x0000_s1026" o:spt="100" style="position:absolute;left:8331;top:6953;height:150;width:7365;" fillcolor="#0176AB" filled="t" stroked="f" coordsize="4676187,94594" o:gfxdata="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9GhB25AAAA3QAA&#10;AA8AAAAAAAAAAQAgAAAAIgAAAGRycy9kb3ducmV2LnhtbFBLAQIUABQAAAAIAIdO4kAzLwWeOwAA&#10;ADkAAAAQAAAAAAAAAAEAIAAAAAgBAABkcnMvc2hhcGV4bWwueG1sUEsFBgAAAAAGAAYAWwEAALID&#10;AAAAAA==&#10;" path="m0,0l4676187,0,4676187,94594,57510,94594,0,0xe">
                  <v:path o:connectlocs="0,0;4679715,0;4679715,98599;57552,98599;0,0" o:connectangles="0,0,0,0,0"/>
                  <v:fill on="t" focussize="0,0"/>
                  <v:stroke on="f"/>
                  <v:imagedata o:title=""/>
                  <o:lock v:ext="edit" aspectratio="f"/>
                </v:shape>
              </v:group>
            </w:pict>
          </mc:Fallback>
        </mc:AlternateContent>
      </w:r>
      <w:r>
        <w:drawing>
          <wp:anchor distT="0" distB="0" distL="114300" distR="114300" simplePos="0" relativeHeight="251668480" behindDoc="0" locked="0" layoutInCell="1" allowOverlap="1">
            <wp:simplePos x="0" y="0"/>
            <wp:positionH relativeFrom="column">
              <wp:posOffset>-44450</wp:posOffset>
            </wp:positionH>
            <wp:positionV relativeFrom="paragraph">
              <wp:posOffset>2134870</wp:posOffset>
            </wp:positionV>
            <wp:extent cx="2159000" cy="1310640"/>
            <wp:effectExtent l="0" t="0" r="12700" b="3810"/>
            <wp:wrapNone/>
            <wp:docPr id="12" name="https://photo-static-api.fotomore.com/creative/vcg/400/new/VCG211393708916.jpg" descr="templates\picture_hover\&amp;pky00203123560_sjzg_VCG211393708916&amp;2&amp;src_toppic_droprecen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ttps://photo-static-api.fotomore.com/creative/vcg/400/new/VCG211393708916.jpg" descr="templates\picture_hover\&amp;pky00203123560_sjzg_VCG211393708916&amp;2&amp;src_toppic_droprecent&amp;"/>
                    <pic:cNvPicPr>
                      <a:picLocks noChangeAspect="1"/>
                    </pic:cNvPicPr>
                  </pic:nvPicPr>
                  <pic:blipFill>
                    <a:blip r:embed="rId11"/>
                    <a:stretch>
                      <a:fillRect/>
                    </a:stretch>
                  </pic:blipFill>
                  <pic:spPr>
                    <a:xfrm>
                      <a:off x="0" y="0"/>
                      <a:ext cx="2159000" cy="1310640"/>
                    </a:xfrm>
                    <a:prstGeom prst="rect">
                      <a:avLst/>
                    </a:prstGeom>
                  </pic:spPr>
                </pic:pic>
              </a:graphicData>
            </a:graphic>
          </wp:anchor>
        </w:drawing>
      </w:r>
      <w:r>
        <mc:AlternateContent>
          <mc:Choice Requires="wpg">
            <w:drawing>
              <wp:anchor distT="0" distB="0" distL="114300" distR="114300" simplePos="0" relativeHeight="251662336" behindDoc="0" locked="0" layoutInCell="1" allowOverlap="1">
                <wp:simplePos x="0" y="0"/>
                <wp:positionH relativeFrom="column">
                  <wp:posOffset>-280670</wp:posOffset>
                </wp:positionH>
                <wp:positionV relativeFrom="paragraph">
                  <wp:posOffset>-313055</wp:posOffset>
                </wp:positionV>
                <wp:extent cx="5954395" cy="1885315"/>
                <wp:effectExtent l="0" t="0" r="0" b="14605"/>
                <wp:wrapNone/>
                <wp:docPr id="1" name="组合 1"/>
                <wp:cNvGraphicFramePr/>
                <a:graphic xmlns:a="http://schemas.openxmlformats.org/drawingml/2006/main">
                  <a:graphicData uri="http://schemas.microsoft.com/office/word/2010/wordprocessingGroup">
                    <wpg:wgp>
                      <wpg:cNvGrpSpPr/>
                      <wpg:grpSpPr>
                        <a:xfrm>
                          <a:off x="0" y="0"/>
                          <a:ext cx="5954395" cy="1885315"/>
                          <a:chOff x="12098" y="1831"/>
                          <a:chExt cx="9377" cy="2969"/>
                        </a:xfrm>
                      </wpg:grpSpPr>
                      <wps:wsp>
                        <wps:cNvPr id="89" name="文本框 32"/>
                        <wps:cNvSpPr txBox="1"/>
                        <wps:spPr>
                          <a:xfrm>
                            <a:off x="13325" y="1831"/>
                            <a:ext cx="4462" cy="1348"/>
                          </a:xfrm>
                          <a:prstGeom prst="rect">
                            <a:avLst/>
                          </a:prstGeom>
                          <a:noFill/>
                        </wps:spPr>
                        <wps:txbx>
                          <w:txbxContent>
                            <w:p>
                              <w:pPr>
                                <w:jc w:val="distribute"/>
                                <w:rPr>
                                  <w:rFonts w:ascii="方正魏碑简体" w:hAnsi="Arial" w:eastAsia="方正魏碑简体" w:cs="Arial"/>
                                  <w:color w:val="000000" w:themeColor="text1"/>
                                  <w:kern w:val="0"/>
                                  <w:sz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方正魏碑简体" w:hAnsi="Arial" w:eastAsia="方正魏碑简体" w:cs="Arial"/>
                                  <w:color w:val="000000" w:themeColor="text1"/>
                                  <w:spacing w:val="60"/>
                                  <w:kern w:val="24"/>
                                  <w:sz w:val="72"/>
                                  <w:szCs w:val="7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2023年度</w:t>
                              </w:r>
                            </w:p>
                          </w:txbxContent>
                        </wps:txbx>
                        <wps:bodyPr wrap="square" rtlCol="0">
                          <a:noAutofit/>
                        </wps:bodyPr>
                      </wps:wsp>
                      <wpg:grpSp>
                        <wpg:cNvPr id="6" name="组合 6"/>
                        <wpg:cNvGrpSpPr/>
                        <wpg:grpSpPr>
                          <a:xfrm>
                            <a:off x="12098" y="3193"/>
                            <a:ext cx="9377" cy="1607"/>
                            <a:chOff x="6119" y="2843"/>
                            <a:chExt cx="9377" cy="1607"/>
                          </a:xfrm>
                        </wpg:grpSpPr>
                        <wps:wsp>
                          <wps:cNvPr id="91" name="文本框 32"/>
                          <wps:cNvSpPr txBox="1"/>
                          <wps:spPr>
                            <a:xfrm>
                              <a:off x="6119" y="2843"/>
                              <a:ext cx="9377" cy="1421"/>
                            </a:xfrm>
                            <a:prstGeom prst="rect">
                              <a:avLst/>
                            </a:prstGeom>
                            <a:noFill/>
                          </wps:spPr>
                          <wps:txbx>
                            <w:txbxContent>
                              <w:p>
                                <w:pPr>
                                  <w:jc w:val="left"/>
                                  <w:rPr>
                                    <w:rFonts w:ascii="黑体" w:hAnsi="黑体" w:eastAsia="黑体" w:cs="黑体"/>
                                    <w:color w:val="000000" w:themeColor="text1"/>
                                    <w:kern w:val="0"/>
                                    <w:sz w:val="24"/>
                                    <w:szCs w:val="2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黑体" w:hAnsi="黑体" w:eastAsia="黑体" w:cs="黑体"/>
                                    <w:color w:val="000000" w:themeColor="text1"/>
                                    <w:spacing w:val="60"/>
                                    <w:kern w:val="24"/>
                                    <w:sz w:val="96"/>
                                    <w:szCs w:val="96"/>
                                    <w:lang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单位</w:t>
                                </w:r>
                                <w:r>
                                  <w:rPr>
                                    <w:rFonts w:hint="eastAsia" w:ascii="黑体" w:hAnsi="黑体" w:eastAsia="黑体" w:cs="黑体"/>
                                    <w:color w:val="000000" w:themeColor="text1"/>
                                    <w:spacing w:val="60"/>
                                    <w:kern w:val="24"/>
                                    <w:sz w:val="96"/>
                                    <w:szCs w:val="96"/>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决算公开文本</w:t>
                                </w:r>
                              </w:p>
                            </w:txbxContent>
                          </wps:txbx>
                          <wps:bodyPr wrap="square" rtlCol="0">
                            <a:noAutofit/>
                          </wps:bodyPr>
                        </wps:wsp>
                        <wps:wsp>
                          <wps:cNvPr id="4" name="直接连接符 4"/>
                          <wps:cNvCnPr/>
                          <wps:spPr>
                            <a:xfrm>
                              <a:off x="6226" y="4450"/>
                              <a:ext cx="8700" cy="0"/>
                            </a:xfrm>
                            <a:prstGeom prst="line">
                              <a:avLst/>
                            </a:prstGeom>
                            <a:ln w="28575" cmpd="sng">
                              <a:solidFill>
                                <a:schemeClr val="accent1">
                                  <a:shade val="50000"/>
                                </a:schemeClr>
                              </a:solidFill>
                              <a:prstDash val="sysDot"/>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_x0000_s1026" o:spid="_x0000_s1026" o:spt="203" style="position:absolute;left:0pt;margin-left:-22.1pt;margin-top:-24.65pt;height:148.45pt;width:468.85pt;z-index:251662336;mso-width-relative:page;mso-height-relative:page;" coordorigin="12098,1831" coordsize="9377,2969" o:gfxdata="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AAAAAZHJzL1BLAQIUABQAAAAIAIdO&#10;4kCVBwvF2wAAAAsBAAAPAAAAAAAAAAEAIAAAACIAAABkcnMvZG93bnJldi54bWxQSwECFAAUAAAA&#10;CACHTuJAIE9ecUEDAABECQAADgAAAAAAAAABACAAAAAqAQAAZHJzL2Uyb0RvYy54bWxQSwUGAAAA&#10;AAYABgBZAQAA3QYAAAAA&#10;">
                <o:lock v:ext="edit" aspectratio="f"/>
                <v:shape id="文本框 32" o:spid="_x0000_s1026" o:spt="202" type="#_x0000_t202" style="position:absolute;left:13325;top:1831;height:1348;width:4462;" filled="f" stroked="f" coordsize="21600,21600" o:gfxdata="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oO67L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distribute"/>
                          <w:rPr>
                            <w:rFonts w:ascii="方正魏碑简体" w:hAnsi="Arial" w:eastAsia="方正魏碑简体" w:cs="Arial"/>
                            <w:color w:val="000000" w:themeColor="text1"/>
                            <w:kern w:val="0"/>
                            <w:sz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方正魏碑简体" w:hAnsi="Arial" w:eastAsia="方正魏碑简体" w:cs="Arial"/>
                            <w:color w:val="000000" w:themeColor="text1"/>
                            <w:spacing w:val="60"/>
                            <w:kern w:val="24"/>
                            <w:sz w:val="72"/>
                            <w:szCs w:val="7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2023年度</w:t>
                        </w:r>
                      </w:p>
                    </w:txbxContent>
                  </v:textbox>
                </v:shape>
                <v:group id="_x0000_s1026" o:spid="_x0000_s1026" o:spt="203" style="position:absolute;left:12098;top:3193;height:1607;width:9377;" coordorigin="6119,2843" coordsize="9377,1607"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shape id="文本框 32" o:spid="_x0000_s1026" o:spt="202" type="#_x0000_t202" style="position:absolute;left:6119;top:2843;height:1421;width:9377;" filled="f" stroked="f" coordsize="21600,21600" o:gfxdata="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SwgN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left"/>
                            <w:rPr>
                              <w:rFonts w:ascii="黑体" w:hAnsi="黑体" w:eastAsia="黑体" w:cs="黑体"/>
                              <w:color w:val="000000" w:themeColor="text1"/>
                              <w:kern w:val="0"/>
                              <w:sz w:val="24"/>
                              <w:szCs w:val="2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黑体" w:hAnsi="黑体" w:eastAsia="黑体" w:cs="黑体"/>
                              <w:color w:val="000000" w:themeColor="text1"/>
                              <w:spacing w:val="60"/>
                              <w:kern w:val="24"/>
                              <w:sz w:val="96"/>
                              <w:szCs w:val="96"/>
                              <w:lang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单位</w:t>
                          </w:r>
                          <w:r>
                            <w:rPr>
                              <w:rFonts w:hint="eastAsia" w:ascii="黑体" w:hAnsi="黑体" w:eastAsia="黑体" w:cs="黑体"/>
                              <w:color w:val="000000" w:themeColor="text1"/>
                              <w:spacing w:val="60"/>
                              <w:kern w:val="24"/>
                              <w:sz w:val="96"/>
                              <w:szCs w:val="96"/>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决算公开文本</w:t>
                          </w:r>
                        </w:p>
                      </w:txbxContent>
                    </v:textbox>
                  </v:shape>
                  <v:line id="_x0000_s1026" o:spid="_x0000_s1026" o:spt="20" style="position:absolute;left:6226;top:4450;height:0;width:8700;" filled="f" stroked="t" coordsize="21600,21600" o:gfxdata="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kshgLsAAADa&#10;AAAADwAAAAAAAAABACAAAAAiAAAAZHJzL2Rvd25yZXYueG1sUEsBAhQAFAAAAAgAh07iQDMvBZ47&#10;AAAAOQAAABAAAAAAAAAAAQAgAAAACgEAAGRycy9zaGFwZXhtbC54bWxQSwUGAAAAAAYABgBbAQAA&#10;tAMAAAAA&#10;">
                    <v:fill on="f" focussize="0,0"/>
                    <v:stroke weight="2.25pt" color="#41719C [3204]" miterlimit="8" joinstyle="miter" dashstyle="1 1"/>
                    <v:imagedata o:title=""/>
                    <o:lock v:ext="edit" aspectratio="f"/>
                  </v:line>
                </v:group>
              </v:group>
            </w:pict>
          </mc:Fallback>
        </mc:AlternateContent>
      </w:r>
      <w:r>
        <w:drawing>
          <wp:anchor distT="0" distB="0" distL="114300" distR="114300" simplePos="0" relativeHeight="251666432" behindDoc="0" locked="0" layoutInCell="1" allowOverlap="1">
            <wp:simplePos x="0" y="0"/>
            <wp:positionH relativeFrom="column">
              <wp:posOffset>-95250</wp:posOffset>
            </wp:positionH>
            <wp:positionV relativeFrom="margin">
              <wp:posOffset>-27305</wp:posOffset>
            </wp:positionV>
            <wp:extent cx="506095" cy="506095"/>
            <wp:effectExtent l="0" t="0" r="8255" b="8255"/>
            <wp:wrapNone/>
            <wp:docPr id="3" name="图片 3" descr="32313539313538323b32313539313537353bb5e7c4d4b0ecb9ab"/>
            <wp:cNvGraphicFramePr>
              <a:graphicFrameLocks xmlns:a="http://schemas.openxmlformats.org/drawingml/2006/main" noChangeAspect="1"/>
              <a:extLst xmlns:a="http://schemas.openxmlformats.org/drawingml/2006/main">
                <a:ext uri="{7FBC4E63-A832-4D11-8238-D91031DB1400}">
                  <s:tag xmlns="http://www.wps.cn/officeDocument/2013/wpsCustomData" xmlns:s="http://www.wps.cn/officeDocument/2013/wpsCustomData">
                    <s:item s:name="KSO_DOCER_RESOURCE_TRACE_INFO" s:val="{&quot;id&quot;:&quot;21591575&quot;,&quot;origin&quot;:0,&quot;type&quot;:&quot;icons&quot;,&quot;user&quot;:&quot;292216292&quot;}"/>
                  </s:tag>
                </a:ext>
              </a:extLst>
            </wp:cNvGraphicFramePr>
            <a:graphic xmlns:a="http://schemas.openxmlformats.org/drawingml/2006/main">
              <a:graphicData uri="http://schemas.openxmlformats.org/drawingml/2006/picture">
                <pic:pic xmlns:pic="http://schemas.openxmlformats.org/drawingml/2006/picture">
                  <pic:nvPicPr>
                    <pic:cNvPr id="3" name="图片 3" descr="32313539313538323b32313539313537353bb5e7c4d4b0ecb9ab"/>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506095" cy="506095"/>
                    </a:xfrm>
                    <a:prstGeom prst="rect">
                      <a:avLst/>
                    </a:prstGeom>
                  </pic:spPr>
                </pic:pic>
              </a:graphicData>
            </a:graphic>
          </wp:anchor>
        </w:drawing>
      </w:r>
      <w:r>
        <mc:AlternateContent>
          <mc:Choice Requires="wps">
            <w:drawing>
              <wp:anchor distT="0" distB="0" distL="114300" distR="114300" simplePos="0" relativeHeight="251663360" behindDoc="0" locked="0" layoutInCell="1" allowOverlap="1">
                <wp:simplePos x="0" y="0"/>
                <wp:positionH relativeFrom="column">
                  <wp:posOffset>1120140</wp:posOffset>
                </wp:positionH>
                <wp:positionV relativeFrom="paragraph">
                  <wp:posOffset>7942580</wp:posOffset>
                </wp:positionV>
                <wp:extent cx="3260090" cy="520700"/>
                <wp:effectExtent l="0" t="0" r="0" b="0"/>
                <wp:wrapNone/>
                <wp:docPr id="1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260090" cy="520700"/>
                        </a:xfrm>
                        <a:prstGeom prst="rect">
                          <a:avLst/>
                        </a:prstGeom>
                        <a:noFill/>
                        <a:ln w="9525">
                          <a:noFill/>
                          <a:miter lim="800000"/>
                        </a:ln>
                      </wps:spPr>
                      <wps:txb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二〇二四年</w:t>
                            </w:r>
                            <w:r>
                              <w:rPr>
                                <w:rFonts w:hint="eastAsia" w:ascii="楷体_GB2312" w:hAnsi="楷体_GB2312" w:eastAsia="楷体_GB2312" w:cs="楷体_GB2312"/>
                                <w:color w:val="000000"/>
                                <w:sz w:val="40"/>
                                <w:szCs w:val="40"/>
                                <w:lang w:eastAsia="zh-CN"/>
                              </w:rPr>
                              <w:t>九</w:t>
                            </w:r>
                            <w:r>
                              <w:rPr>
                                <w:rFonts w:hint="eastAsia" w:ascii="楷体_GB2312" w:hAnsi="楷体_GB2312" w:eastAsia="楷体_GB2312" w:cs="楷体_GB2312"/>
                                <w:color w:val="000000"/>
                                <w:sz w:val="40"/>
                                <w:szCs w:val="40"/>
                              </w:rPr>
                              <w:t>月</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88.2pt;margin-top:625.4pt;height:41pt;width:256.7pt;z-index:251663360;mso-width-relative:page;mso-height-relative:page;" filled="f" stroked="f" coordsize="21600,21600" o:gfxdata="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s&#10;57Bx2AAAAA0BAAAPAAAAAAAAAAEAIAAAACIAAABkcnMvZG93bnJldi54bWxQSwECFAAUAAAACACH&#10;TuJAIAewiyQCAAAqBAAADgAAAAAAAAABACAAAAAnAQAAZHJzL2Uyb0RvYy54bWxQSwUGAAAAAAYA&#10;BgBZAQAAvQUAAAAA&#10;">
                <v:fill on="f" focussize="0,0"/>
                <v:stroke on="f" miterlimit="8" joinstyle="miter"/>
                <v:imagedata o:title=""/>
                <o:lock v:ext="edit" aspectratio="f"/>
                <v:textbo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二〇二四年</w:t>
                      </w:r>
                      <w:r>
                        <w:rPr>
                          <w:rFonts w:hint="eastAsia" w:ascii="楷体_GB2312" w:hAnsi="楷体_GB2312" w:eastAsia="楷体_GB2312" w:cs="楷体_GB2312"/>
                          <w:color w:val="000000"/>
                          <w:sz w:val="40"/>
                          <w:szCs w:val="40"/>
                          <w:lang w:eastAsia="zh-CN"/>
                        </w:rPr>
                        <w:t>九</w:t>
                      </w:r>
                      <w:r>
                        <w:rPr>
                          <w:rFonts w:hint="eastAsia" w:ascii="楷体_GB2312" w:hAnsi="楷体_GB2312" w:eastAsia="楷体_GB2312" w:cs="楷体_GB2312"/>
                          <w:color w:val="000000"/>
                          <w:sz w:val="40"/>
                          <w:szCs w:val="40"/>
                        </w:rPr>
                        <w:t>月</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-253365</wp:posOffset>
                </wp:positionH>
                <wp:positionV relativeFrom="paragraph">
                  <wp:posOffset>1611630</wp:posOffset>
                </wp:positionV>
                <wp:extent cx="5494020" cy="570230"/>
                <wp:effectExtent l="0" t="0" r="0" b="0"/>
                <wp:wrapNone/>
                <wp:docPr id="98" name="文本框 33"/>
                <wp:cNvGraphicFramePr/>
                <a:graphic xmlns:a="http://schemas.openxmlformats.org/drawingml/2006/main">
                  <a:graphicData uri="http://schemas.microsoft.com/office/word/2010/wordprocessingShape">
                    <wps:wsp>
                      <wps:cNvSpPr txBox="1"/>
                      <wps:spPr>
                        <a:xfrm>
                          <a:off x="0" y="0"/>
                          <a:ext cx="5494020" cy="570230"/>
                        </a:xfrm>
                        <a:prstGeom prst="rect">
                          <a:avLst/>
                        </a:prstGeom>
                        <a:noFill/>
                      </wps:spPr>
                      <wps:txbx>
                        <w:txbxContent>
                          <w:p>
                            <w:pPr>
                              <w:jc w:val="distribute"/>
                              <w:rPr>
                                <w:rFonts w:ascii="思源黑体 CN Heavy" w:hAnsi="思源黑体 CN Heavy" w:eastAsia="思源黑体 CN Heavy"/>
                                <w:color w:val="A6A6A6" w:themeColor="background1" w:themeShade="A6"/>
                                <w:kern w:val="0"/>
                                <w:sz w:val="40"/>
                                <w:szCs w:val="40"/>
                              </w:rPr>
                            </w:pPr>
                          </w:p>
                        </w:txbxContent>
                      </wps:txbx>
                      <wps:bodyPr wrap="square" rtlCol="0">
                        <a:noAutofit/>
                      </wps:bodyPr>
                    </wps:wsp>
                  </a:graphicData>
                </a:graphic>
              </wp:anchor>
            </w:drawing>
          </mc:Choice>
          <mc:Fallback>
            <w:pict>
              <v:shape id="文本框 33" o:spid="_x0000_s1026" o:spt="202" type="#_x0000_t202" style="position:absolute;left:0pt;margin-left:-19.95pt;margin-top:126.9pt;height:44.9pt;width:432.6pt;z-index:251660288;mso-width-relative:page;mso-height-relative:page;" filled="f" stroked="f" coordsize="21600,21600" o:gfxdata="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allr9gAAAALAQAADwAAAAAAAAABACAAAAAiAAAAZHJzL2Rvd25yZXYueG1sUEsB&#10;AhQAFAAAAAgAh07iQFu9ble8AQAAXwMAAA4AAAAAAAAAAQAgAAAAJwEAAGRycy9lMm9Eb2MueG1s&#10;UEsFBgAAAAAGAAYAWQEAAFUFAAAAAA==&#10;">
                <v:fill on="f" focussize="0,0"/>
                <v:stroke on="f"/>
                <v:imagedata o:title=""/>
                <o:lock v:ext="edit" aspectratio="f"/>
                <v:textbox>
                  <w:txbxContent>
                    <w:p>
                      <w:pPr>
                        <w:jc w:val="distribute"/>
                        <w:rPr>
                          <w:rFonts w:ascii="思源黑体 CN Heavy" w:hAnsi="思源黑体 CN Heavy" w:eastAsia="思源黑体 CN Heavy"/>
                          <w:color w:val="A6A6A6" w:themeColor="background1" w:themeShade="A6"/>
                          <w:kern w:val="0"/>
                          <w:sz w:val="40"/>
                          <w:szCs w:val="40"/>
                        </w:rPr>
                      </w:pPr>
                    </w:p>
                  </w:txbxContent>
                </v:textbox>
              </v:shape>
            </w:pict>
          </mc:Fallback>
        </mc:AlternateContent>
      </w:r>
      <w:r>
        <w:drawing>
          <wp:anchor distT="0" distB="0" distL="114300" distR="114300" simplePos="0" relativeHeight="251659264" behindDoc="0" locked="0" layoutInCell="1" allowOverlap="1">
            <wp:simplePos x="0" y="0"/>
            <wp:positionH relativeFrom="margin">
              <wp:posOffset>-2810510</wp:posOffset>
            </wp:positionH>
            <wp:positionV relativeFrom="margin">
              <wp:posOffset>304165</wp:posOffset>
            </wp:positionV>
            <wp:extent cx="11083290" cy="7844790"/>
            <wp:effectExtent l="0" t="0" r="3810" b="3810"/>
            <wp:wrapNone/>
            <wp:docPr id="73" name="背景 耗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背景 耗崽"/>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rot="16200000">
                      <a:off x="0" y="0"/>
                      <a:ext cx="11083290" cy="7844790"/>
                    </a:xfrm>
                    <a:prstGeom prst="rect">
                      <a:avLst/>
                    </a:prstGeom>
                  </pic:spPr>
                </pic:pic>
              </a:graphicData>
            </a:graphic>
          </wp:anchor>
        </w:drawing>
      </w:r>
      <w:r>
        <w:br w:type="page"/>
      </w:r>
    </w:p>
    <w:p>
      <w:pPr>
        <w:tabs>
          <w:tab w:val="left" w:pos="2728"/>
        </w:tabs>
        <w:jc w:val="both"/>
        <w:rPr>
          <w:rFonts w:ascii="黑体" w:hAnsi="Times New Roman" w:eastAsia="黑体" w:cs="Times New Roman"/>
          <w:sz w:val="48"/>
          <w:szCs w:val="48"/>
        </w:rPr>
      </w:pPr>
    </w:p>
    <w:p>
      <w:pPr>
        <w:tabs>
          <w:tab w:val="left" w:pos="2728"/>
        </w:tabs>
        <w:jc w:val="center"/>
        <w:rPr>
          <w:rFonts w:ascii="黑体" w:hAnsi="Times New Roman" w:eastAsia="黑体" w:cs="Times New Roman"/>
          <w:sz w:val="44"/>
          <w:szCs w:val="44"/>
        </w:rPr>
      </w:pPr>
      <w:r>
        <w:rPr>
          <w:rFonts w:hint="eastAsia" w:ascii="黑体" w:hAnsi="Times New Roman" w:eastAsia="黑体" w:cs="Times New Roman"/>
          <w:sz w:val="44"/>
          <w:szCs w:val="44"/>
        </w:rPr>
        <w:t>目    录</w:t>
      </w:r>
    </w:p>
    <w:p>
      <w:pPr>
        <w:widowControl/>
        <w:spacing w:after="160" w:line="580" w:lineRule="exact"/>
        <w:ind w:firstLine="640" w:firstLineChars="200"/>
        <w:rPr>
          <w:rFonts w:ascii="Times New Roman" w:hAnsi="Times New Roman" w:eastAsia="黑体" w:cs="Times New Roman"/>
          <w:sz w:val="32"/>
          <w:szCs w:val="32"/>
        </w:rPr>
      </w:pPr>
    </w:p>
    <w:p>
      <w:pPr>
        <w:widowControl/>
        <w:spacing w:after="160" w:line="580" w:lineRule="exact"/>
        <w:ind w:firstLine="640" w:firstLineChars="200"/>
        <w:rPr>
          <w:rFonts w:ascii="Times New Roman" w:hAnsi="Times New Roman" w:eastAsia="仿宋_GB2312" w:cs="Times New Roman"/>
          <w:sz w:val="24"/>
          <w:szCs w:val="32"/>
        </w:rPr>
      </w:pPr>
      <w:r>
        <w:rPr>
          <w:rFonts w:ascii="Times New Roman" w:hAnsi="Times New Roman" w:eastAsia="黑体" w:cs="Times New Roman"/>
          <w:sz w:val="32"/>
          <w:szCs w:val="32"/>
        </w:rPr>
        <w:t xml:space="preserve">第一部分   </w:t>
      </w:r>
      <w:r>
        <w:rPr>
          <w:rFonts w:hint="eastAsia" w:ascii="Times New Roman" w:hAnsi="Times New Roman" w:eastAsia="黑体" w:cs="Times New Roman"/>
          <w:sz w:val="32"/>
          <w:szCs w:val="32"/>
          <w:lang w:eastAsia="zh-CN"/>
        </w:rPr>
        <w:t>单位</w:t>
      </w:r>
      <w:r>
        <w:rPr>
          <w:rFonts w:ascii="Times New Roman" w:hAnsi="Times New Roman" w:eastAsia="黑体" w:cs="Times New Roman"/>
          <w:sz w:val="32"/>
          <w:szCs w:val="32"/>
        </w:rPr>
        <w:t>概况</w:t>
      </w:r>
    </w:p>
    <w:p>
      <w:pPr>
        <w:widowControl/>
        <w:spacing w:after="160" w:line="580" w:lineRule="exact"/>
        <w:ind w:firstLine="1273" w:firstLineChars="398"/>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单位</w:t>
      </w:r>
      <w:r>
        <w:rPr>
          <w:rFonts w:hint="eastAsia" w:ascii="Times New Roman" w:hAnsi="Times New Roman" w:eastAsia="仿宋_GB2312" w:cs="Times New Roman"/>
          <w:sz w:val="32"/>
          <w:szCs w:val="32"/>
        </w:rPr>
        <w:t>职责</w:t>
      </w:r>
    </w:p>
    <w:p>
      <w:pPr>
        <w:widowControl/>
        <w:spacing w:after="160" w:line="580" w:lineRule="exact"/>
        <w:ind w:firstLine="1273" w:firstLineChars="398"/>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rPr>
        <w:t>机构设置</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第二部分</w:t>
      </w:r>
      <w:r>
        <w:rPr>
          <w:rFonts w:hint="eastAsia" w:ascii="Times New Roman" w:hAnsi="Times New Roman" w:eastAsia="黑体" w:cs="Times New Roman"/>
          <w:sz w:val="32"/>
          <w:szCs w:val="32"/>
        </w:rPr>
        <w:t xml:space="preserve">   2023年</w:t>
      </w:r>
      <w:r>
        <w:rPr>
          <w:rFonts w:ascii="Times New Roman" w:hAnsi="Times New Roman" w:eastAsia="黑体" w:cs="Times New Roman"/>
          <w:sz w:val="32"/>
          <w:szCs w:val="32"/>
        </w:rPr>
        <w:t>度</w:t>
      </w:r>
      <w:r>
        <w:rPr>
          <w:rFonts w:hint="eastAsia" w:ascii="Times New Roman" w:hAnsi="Times New Roman" w:eastAsia="黑体" w:cs="Times New Roman"/>
          <w:sz w:val="32"/>
          <w:szCs w:val="32"/>
          <w:lang w:eastAsia="zh-CN"/>
        </w:rPr>
        <w:t>单位</w:t>
      </w:r>
      <w:r>
        <w:rPr>
          <w:rFonts w:ascii="Times New Roman" w:hAnsi="Times New Roman" w:eastAsia="黑体" w:cs="Times New Roman"/>
          <w:sz w:val="32"/>
          <w:szCs w:val="32"/>
        </w:rPr>
        <w:t>决算报表</w:t>
      </w:r>
    </w:p>
    <w:p>
      <w:pPr>
        <w:widowControl/>
        <w:spacing w:after="160" w:line="580" w:lineRule="exact"/>
        <w:ind w:firstLine="1280" w:firstLineChars="4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rPr>
        <w:t>收入支出决算总表</w:t>
      </w:r>
    </w:p>
    <w:p>
      <w:pPr>
        <w:widowControl/>
        <w:spacing w:after="160" w:line="580" w:lineRule="exact"/>
        <w:ind w:left="64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w:t>
      </w:r>
      <w:r>
        <w:rPr>
          <w:rFonts w:hint="eastAsia" w:ascii="Times New Roman" w:hAnsi="Times New Roman" w:eastAsia="仿宋_GB2312" w:cs="Times New Roman"/>
          <w:sz w:val="32"/>
          <w:szCs w:val="32"/>
        </w:rPr>
        <w:t>表</w:t>
      </w:r>
    </w:p>
    <w:p>
      <w:pPr>
        <w:widowControl/>
        <w:spacing w:after="160" w:line="580" w:lineRule="exact"/>
        <w:ind w:left="64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w:t>
      </w:r>
      <w:r>
        <w:rPr>
          <w:rFonts w:hint="eastAsia" w:ascii="Times New Roman" w:hAnsi="Times New Roman" w:eastAsia="仿宋_GB2312" w:cs="Times New Roman"/>
          <w:sz w:val="32"/>
          <w:szCs w:val="32"/>
        </w:rPr>
        <w:t>表</w:t>
      </w:r>
    </w:p>
    <w:p>
      <w:pPr>
        <w:widowControl/>
        <w:spacing w:after="160" w:line="580" w:lineRule="exact"/>
        <w:ind w:left="64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hint="eastAsia" w:ascii="Times New Roman" w:hAnsi="Times New Roman" w:eastAsia="仿宋_GB2312" w:cs="Times New Roman"/>
          <w:sz w:val="32"/>
          <w:szCs w:val="32"/>
        </w:rPr>
        <w:t>财政拨款收入支出决算总表</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五、一般公共预算财政拨款支出决算表</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六、一般公共预算财政拨款基本支出决算明细表</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七、政府性基金预算财政拨款收入支出决算表</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八</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国有资本经营预算财政拨款支出决算表</w:t>
      </w:r>
    </w:p>
    <w:p>
      <w:pPr>
        <w:widowControl/>
        <w:spacing w:after="160" w:line="580" w:lineRule="exact"/>
        <w:ind w:left="640" w:firstLine="640" w:firstLineChars="200"/>
        <w:rPr>
          <w:rFonts w:ascii="Times New Roman" w:hAnsi="Times New Roman" w:eastAsia="仿宋_GB2312" w:cs="Times New Roman"/>
          <w:sz w:val="20"/>
          <w:szCs w:val="32"/>
        </w:rPr>
      </w:pPr>
      <w:r>
        <w:rPr>
          <w:rFonts w:hint="eastAsia" w:ascii="Times New Roman" w:hAnsi="Times New Roman" w:eastAsia="仿宋_GB2312" w:cs="Times New Roman"/>
          <w:sz w:val="32"/>
          <w:szCs w:val="32"/>
        </w:rPr>
        <w:t>九、财政拨款“三公”经费支出决算表</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第三部分   </w:t>
      </w:r>
      <w:r>
        <w:rPr>
          <w:rFonts w:hint="eastAsia" w:ascii="Times New Roman" w:hAnsi="Times New Roman" w:eastAsia="黑体" w:cs="Times New Roman"/>
          <w:sz w:val="32"/>
          <w:szCs w:val="32"/>
        </w:rPr>
        <w:t>2023年度</w:t>
      </w:r>
      <w:r>
        <w:rPr>
          <w:rFonts w:hint="eastAsia" w:ascii="Times New Roman" w:hAnsi="Times New Roman" w:eastAsia="黑体" w:cs="Times New Roman"/>
          <w:sz w:val="32"/>
          <w:szCs w:val="32"/>
          <w:lang w:eastAsia="zh-CN"/>
        </w:rPr>
        <w:t>单位</w:t>
      </w:r>
      <w:r>
        <w:rPr>
          <w:rFonts w:ascii="Times New Roman" w:hAnsi="Times New Roman" w:eastAsia="黑体" w:cs="Times New Roman"/>
          <w:sz w:val="32"/>
          <w:szCs w:val="32"/>
        </w:rPr>
        <w:t>决算情况说明</w:t>
      </w:r>
    </w:p>
    <w:p>
      <w:pPr>
        <w:widowControl/>
        <w:spacing w:after="160" w:line="580" w:lineRule="exact"/>
        <w:ind w:firstLine="1280" w:firstLineChars="4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rPr>
        <w:t>收入支出决算总体情况说明</w:t>
      </w:r>
    </w:p>
    <w:p>
      <w:pPr>
        <w:widowControl/>
        <w:spacing w:after="160" w:line="580" w:lineRule="exact"/>
        <w:ind w:left="64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widowControl/>
        <w:spacing w:after="160" w:line="580" w:lineRule="exact"/>
        <w:ind w:left="64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三、支出决算情况说明</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四、财政拨款收入支出决算总体情况说明</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五、财政拨款“三公” 经费支出决算情况说明</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六、机关运行经费支出说明</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七、政府采购支出说明</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八、国有资产占用情况说明</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九、预算绩效情况说明</w:t>
      </w:r>
    </w:p>
    <w:p>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十、其他需要说明的情况</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rPr>
        <w:t>四</w:t>
      </w:r>
      <w:r>
        <w:rPr>
          <w:rFonts w:ascii="Times New Roman" w:hAnsi="Times New Roman" w:eastAsia="黑体" w:cs="Times New Roman"/>
          <w:sz w:val="32"/>
          <w:szCs w:val="32"/>
        </w:rPr>
        <w:t>部分</w:t>
      </w: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名词解释</w:t>
      </w:r>
    </w:p>
    <w:p>
      <w:pPr>
        <w:widowControl/>
        <w:spacing w:after="160" w:line="580" w:lineRule="exact"/>
        <w:ind w:firstLine="640" w:firstLineChars="200"/>
        <w:rPr>
          <w:rFonts w:ascii="Times New Roman" w:hAnsi="Times New Roman" w:eastAsia="黑体" w:cs="Times New Roman"/>
          <w:sz w:val="32"/>
          <w:szCs w:val="32"/>
        </w:rPr>
        <w:sectPr>
          <w:headerReference r:id="rId4" w:type="first"/>
          <w:footerReference r:id="rId6" w:type="first"/>
          <w:headerReference r:id="rId3" w:type="default"/>
          <w:footerReference r:id="rId5" w:type="default"/>
          <w:pgSz w:w="11906" w:h="16838"/>
          <w:pgMar w:top="1474" w:right="1531" w:bottom="1474" w:left="1531" w:header="851" w:footer="992" w:gutter="0"/>
          <w:cols w:space="0" w:num="1"/>
          <w:titlePg/>
          <w:docGrid w:type="lines" w:linePitch="312" w:charSpace="0"/>
        </w:sectPr>
      </w:pPr>
    </w:p>
    <w:p>
      <w:pPr>
        <w:widowControl/>
        <w:jc w:val="center"/>
        <w:rPr>
          <w:rFonts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 第一部分  </w:t>
      </w:r>
      <w:r>
        <w:rPr>
          <w:rFonts w:hint="eastAsia" w:ascii="黑体" w:hAnsi="黑体" w:eastAsia="黑体" w:cs="黑体"/>
          <w:color w:val="000000" w:themeColor="text1"/>
          <w:sz w:val="44"/>
          <w:szCs w:val="44"/>
          <w:lang w:eastAsia="zh-CN"/>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单位</w:t>
      </w:r>
      <w:r>
        <w:rPr>
          <w:rFonts w:hint="eastAsia"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概况</w:t>
      </w:r>
    </w:p>
    <w:p>
      <w:pPr>
        <w:widowControl/>
        <w:spacing w:line="580" w:lineRule="exact"/>
        <w:ind w:firstLine="640" w:firstLineChars="200"/>
        <w:rPr>
          <w:rFonts w:eastAsia="黑体"/>
          <w:sz w:val="32"/>
          <w:szCs w:val="32"/>
        </w:rPr>
      </w:pPr>
    </w:p>
    <w:p>
      <w:pPr>
        <w:pStyle w:val="2"/>
        <w:spacing w:before="0" w:after="0" w:line="580" w:lineRule="exact"/>
        <w:ind w:firstLine="640" w:firstLineChars="200"/>
        <w:jc w:val="left"/>
        <w:rPr>
          <w:rFonts w:ascii="黑体" w:eastAsia="黑体" w:cs="黑体"/>
          <w:b w:val="0"/>
          <w:bCs w:val="0"/>
          <w:kern w:val="0"/>
          <w:sz w:val="32"/>
          <w:szCs w:val="32"/>
        </w:rPr>
      </w:pPr>
      <w:r>
        <w:rPr>
          <w:rFonts w:hint="eastAsia" w:ascii="黑体" w:eastAsia="黑体" w:cs="黑体"/>
          <w:b w:val="0"/>
          <w:bCs w:val="0"/>
          <w:kern w:val="0"/>
          <w:sz w:val="32"/>
          <w:szCs w:val="32"/>
        </w:rPr>
        <w:t>一、</w:t>
      </w:r>
      <w:r>
        <w:rPr>
          <w:rFonts w:hint="eastAsia" w:ascii="黑体" w:eastAsia="黑体" w:cs="黑体"/>
          <w:b w:val="0"/>
          <w:bCs w:val="0"/>
          <w:kern w:val="0"/>
          <w:sz w:val="32"/>
          <w:szCs w:val="32"/>
          <w:lang w:eastAsia="zh-CN"/>
        </w:rPr>
        <w:t>单位</w:t>
      </w:r>
      <w:r>
        <w:rPr>
          <w:rFonts w:hint="eastAsia" w:ascii="黑体" w:eastAsia="黑体" w:cs="黑体"/>
          <w:b w:val="0"/>
          <w:bCs w:val="0"/>
          <w:kern w:val="0"/>
          <w:sz w:val="32"/>
          <w:szCs w:val="32"/>
        </w:rPr>
        <w:t>职责</w:t>
      </w:r>
    </w:p>
    <w:p>
      <w:pPr>
        <w:widowControl/>
        <w:spacing w:line="580" w:lineRule="exact"/>
        <w:ind w:firstLine="640" w:firstLineChars="200"/>
        <w:rPr>
          <w:rFonts w:ascii="仿宋_GB2312" w:hAnsi="Calibri" w:eastAsia="仿宋_GB2312" w:cs="ArialUnicodeMS"/>
          <w:kern w:val="0"/>
          <w:sz w:val="32"/>
          <w:szCs w:val="32"/>
          <w:highlight w:val="none"/>
        </w:rPr>
      </w:pPr>
      <w:r>
        <w:rPr>
          <w:rFonts w:hint="eastAsia" w:ascii="仿宋_GB2312" w:eastAsia="仿宋_GB2312" w:cs="ArialUnicodeMS"/>
          <w:kern w:val="0"/>
          <w:sz w:val="32"/>
          <w:szCs w:val="32"/>
          <w:highlight w:val="none"/>
        </w:rPr>
        <w:t>石家庄循环化工园区医院主要承担辖区内常见病、多发病、单位疑难病的诊疗工作，部分卫生和计生、妇幼保健、职业病救治等服务工作，突发性公共事件的医疗救治和化学救援工作以及辖区内疾病预防与控制、突发公共卫生事件应急处置工作。</w:t>
      </w:r>
    </w:p>
    <w:p>
      <w:pPr>
        <w:keepNext/>
        <w:keepLines/>
        <w:spacing w:line="580" w:lineRule="exact"/>
        <w:ind w:firstLine="640" w:firstLineChars="200"/>
        <w:jc w:val="left"/>
        <w:outlineLvl w:val="0"/>
        <w:rPr>
          <w:rFonts w:ascii="黑体" w:hAnsi="Calibri" w:eastAsia="黑体" w:cs="黑体"/>
          <w:kern w:val="0"/>
          <w:sz w:val="32"/>
          <w:szCs w:val="32"/>
        </w:rPr>
      </w:pPr>
      <w:r>
        <w:rPr>
          <w:rFonts w:hint="eastAsia" w:ascii="黑体" w:hAnsi="Calibri" w:eastAsia="黑体" w:cs="黑体"/>
          <w:kern w:val="0"/>
          <w:sz w:val="32"/>
          <w:szCs w:val="32"/>
        </w:rPr>
        <w:t>二、机构设置</w:t>
      </w:r>
    </w:p>
    <w:p>
      <w:pPr>
        <w:spacing w:line="580" w:lineRule="exact"/>
        <w:ind w:firstLine="640" w:firstLineChars="200"/>
        <w:rPr>
          <w:rFonts w:ascii="仿宋_GB2312" w:hAnsi="Calibri" w:eastAsia="仿宋_GB2312" w:cs="ArialUnicodeMS"/>
          <w:kern w:val="0"/>
          <w:sz w:val="32"/>
          <w:szCs w:val="32"/>
        </w:rPr>
      </w:pPr>
      <w:r>
        <w:rPr>
          <w:rFonts w:hint="eastAsia" w:ascii="仿宋_GB2312" w:hAnsi="Calibri" w:eastAsia="仿宋_GB2312" w:cs="ArialUnicodeMS"/>
          <w:kern w:val="0"/>
          <w:sz w:val="32"/>
          <w:szCs w:val="32"/>
        </w:rPr>
        <w:t>从决算编报单位构成看，纳入2023年度本</w:t>
      </w:r>
      <w:r>
        <w:rPr>
          <w:rFonts w:hint="eastAsia" w:ascii="仿宋_GB2312" w:hAnsi="Calibri" w:eastAsia="仿宋_GB2312" w:cs="ArialUnicodeMS"/>
          <w:kern w:val="0"/>
          <w:sz w:val="32"/>
          <w:szCs w:val="32"/>
          <w:lang w:eastAsia="zh-CN"/>
        </w:rPr>
        <w:t>单位</w:t>
      </w:r>
      <w:r>
        <w:rPr>
          <w:rFonts w:hint="eastAsia" w:ascii="仿宋_GB2312" w:hAnsi="Calibri" w:eastAsia="仿宋_GB2312" w:cs="ArialUnicodeMS"/>
          <w:kern w:val="0"/>
          <w:sz w:val="32"/>
          <w:szCs w:val="32"/>
        </w:rPr>
        <w:t>决算汇编范围的独立核算单位（以下简称“单位”）共</w:t>
      </w:r>
      <w:r>
        <w:rPr>
          <w:rFonts w:hint="eastAsia" w:ascii="仿宋_GB2312" w:hAnsi="Calibri" w:eastAsia="仿宋_GB2312" w:cs="ArialUnicodeMS"/>
          <w:kern w:val="0"/>
          <w:sz w:val="32"/>
          <w:szCs w:val="32"/>
          <w:lang w:val="en-US" w:eastAsia="zh-CN"/>
        </w:rPr>
        <w:t>1</w:t>
      </w:r>
      <w:r>
        <w:rPr>
          <w:rFonts w:hint="eastAsia" w:ascii="仿宋_GB2312" w:hAnsi="Calibri" w:eastAsia="仿宋_GB2312" w:cs="ArialUnicodeMS"/>
          <w:kern w:val="0"/>
          <w:sz w:val="32"/>
          <w:szCs w:val="32"/>
        </w:rPr>
        <w:t>个，具体情况如下：</w:t>
      </w:r>
    </w:p>
    <w:tbl>
      <w:tblPr>
        <w:tblStyle w:val="6"/>
        <w:tblpPr w:leftFromText="180" w:rightFromText="180" w:vertAnchor="text" w:horzAnchor="page" w:tblpXSpec="center" w:tblpY="10"/>
        <w:tblOverlap w:val="never"/>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3378"/>
        <w:gridCol w:w="2552"/>
        <w:gridCol w:w="2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985" w:type="dxa"/>
            <w:vAlign w:val="center"/>
          </w:tcPr>
          <w:p>
            <w:pPr>
              <w:spacing w:line="560" w:lineRule="exact"/>
              <w:jc w:val="center"/>
              <w:rPr>
                <w:rFonts w:ascii="仿宋_GB2312" w:hAnsi="Calibri" w:eastAsia="仿宋_GB2312" w:cs="ArialUnicodeMS"/>
                <w:b/>
                <w:bCs/>
                <w:kern w:val="0"/>
                <w:sz w:val="28"/>
                <w:szCs w:val="28"/>
              </w:rPr>
            </w:pPr>
            <w:r>
              <w:rPr>
                <w:rFonts w:hint="eastAsia" w:ascii="仿宋_GB2312" w:hAnsi="Calibri" w:eastAsia="仿宋_GB2312" w:cs="ArialUnicodeMS"/>
                <w:b/>
                <w:bCs/>
                <w:kern w:val="0"/>
                <w:sz w:val="28"/>
                <w:szCs w:val="28"/>
              </w:rPr>
              <w:t>序号</w:t>
            </w:r>
          </w:p>
        </w:tc>
        <w:tc>
          <w:tcPr>
            <w:tcW w:w="3378" w:type="dxa"/>
            <w:vAlign w:val="center"/>
          </w:tcPr>
          <w:p>
            <w:pPr>
              <w:spacing w:line="560" w:lineRule="exact"/>
              <w:jc w:val="center"/>
              <w:rPr>
                <w:rFonts w:ascii="仿宋_GB2312" w:hAnsi="Calibri" w:eastAsia="仿宋_GB2312" w:cs="ArialUnicodeMS"/>
                <w:b/>
                <w:bCs/>
                <w:kern w:val="0"/>
                <w:sz w:val="28"/>
                <w:szCs w:val="28"/>
              </w:rPr>
            </w:pPr>
            <w:r>
              <w:rPr>
                <w:rFonts w:hint="eastAsia" w:ascii="仿宋_GB2312" w:hAnsi="Calibri" w:eastAsia="仿宋_GB2312" w:cs="ArialUnicodeMS"/>
                <w:b/>
                <w:bCs/>
                <w:kern w:val="0"/>
                <w:sz w:val="28"/>
                <w:szCs w:val="28"/>
              </w:rPr>
              <w:t>单位名称</w:t>
            </w:r>
          </w:p>
        </w:tc>
        <w:tc>
          <w:tcPr>
            <w:tcW w:w="2552" w:type="dxa"/>
            <w:vAlign w:val="center"/>
          </w:tcPr>
          <w:p>
            <w:pPr>
              <w:spacing w:line="560" w:lineRule="exact"/>
              <w:jc w:val="center"/>
              <w:rPr>
                <w:rFonts w:ascii="仿宋_GB2312" w:hAnsi="Calibri" w:eastAsia="仿宋_GB2312" w:cs="ArialUnicodeMS"/>
                <w:b/>
                <w:bCs/>
                <w:kern w:val="0"/>
                <w:sz w:val="28"/>
                <w:szCs w:val="28"/>
              </w:rPr>
            </w:pPr>
            <w:r>
              <w:rPr>
                <w:rFonts w:hint="eastAsia" w:ascii="仿宋_GB2312" w:hAnsi="Calibri" w:eastAsia="仿宋_GB2312" w:cs="ArialUnicodeMS"/>
                <w:b/>
                <w:bCs/>
                <w:kern w:val="0"/>
                <w:sz w:val="28"/>
                <w:szCs w:val="28"/>
              </w:rPr>
              <w:t>单位基本性质</w:t>
            </w:r>
          </w:p>
        </w:tc>
        <w:tc>
          <w:tcPr>
            <w:tcW w:w="2665" w:type="dxa"/>
            <w:vAlign w:val="center"/>
          </w:tcPr>
          <w:p>
            <w:pPr>
              <w:spacing w:line="560" w:lineRule="exact"/>
              <w:jc w:val="center"/>
              <w:rPr>
                <w:rFonts w:ascii="仿宋_GB2312" w:hAnsi="Calibri" w:eastAsia="仿宋_GB2312" w:cs="ArialUnicodeMS"/>
                <w:b/>
                <w:bCs/>
                <w:kern w:val="0"/>
                <w:sz w:val="28"/>
                <w:szCs w:val="28"/>
              </w:rPr>
            </w:pPr>
            <w:r>
              <w:rPr>
                <w:rFonts w:hint="eastAsia" w:ascii="仿宋_GB2312" w:hAnsi="Calibri" w:eastAsia="仿宋_GB2312" w:cs="ArialUnicodeMS"/>
                <w:b/>
                <w:bCs/>
                <w:kern w:val="0"/>
                <w:sz w:val="28"/>
                <w:szCs w:val="28"/>
              </w:rPr>
              <w:t>经费形式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vAlign w:val="center"/>
          </w:tcPr>
          <w:p>
            <w:pPr>
              <w:spacing w:line="560" w:lineRule="exact"/>
              <w:jc w:val="center"/>
              <w:rPr>
                <w:rFonts w:ascii="仿宋_GB2312" w:hAnsi="Calibri" w:eastAsia="仿宋_GB2312" w:cs="ArialUnicodeMS"/>
                <w:kern w:val="0"/>
                <w:sz w:val="28"/>
                <w:szCs w:val="28"/>
              </w:rPr>
            </w:pPr>
            <w:r>
              <w:rPr>
                <w:rFonts w:hint="eastAsia" w:ascii="仿宋_GB2312" w:hAnsi="Calibri" w:eastAsia="仿宋_GB2312" w:cs="ArialUnicodeMS"/>
                <w:kern w:val="0"/>
                <w:sz w:val="28"/>
                <w:szCs w:val="28"/>
              </w:rPr>
              <w:t>1</w:t>
            </w:r>
          </w:p>
        </w:tc>
        <w:tc>
          <w:tcPr>
            <w:tcW w:w="3378" w:type="dxa"/>
            <w:vAlign w:val="center"/>
          </w:tcPr>
          <w:p>
            <w:pPr>
              <w:spacing w:line="560" w:lineRule="exact"/>
              <w:jc w:val="center"/>
              <w:rPr>
                <w:rFonts w:hint="eastAsia" w:ascii="仿宋_GB2312" w:hAnsi="Calibri" w:eastAsia="仿宋_GB2312" w:cs="ArialUnicodeMS"/>
                <w:kern w:val="0"/>
                <w:sz w:val="28"/>
                <w:szCs w:val="28"/>
                <w:lang w:eastAsia="zh-CN"/>
              </w:rPr>
            </w:pPr>
            <w:r>
              <w:rPr>
                <w:rFonts w:hint="eastAsia" w:ascii="仿宋_GB2312" w:hAnsi="Calibri" w:eastAsia="仿宋_GB2312" w:cs="ArialUnicodeMS"/>
                <w:kern w:val="0"/>
                <w:sz w:val="28"/>
                <w:szCs w:val="28"/>
                <w:lang w:eastAsia="zh-CN"/>
              </w:rPr>
              <w:t>石家庄循环化工园区医院</w:t>
            </w:r>
          </w:p>
        </w:tc>
        <w:tc>
          <w:tcPr>
            <w:tcW w:w="2552" w:type="dxa"/>
            <w:vAlign w:val="center"/>
          </w:tcPr>
          <w:p>
            <w:pPr>
              <w:spacing w:line="560" w:lineRule="exact"/>
              <w:jc w:val="center"/>
              <w:rPr>
                <w:rFonts w:ascii="仿宋_GB2312" w:hAnsi="Calibri" w:eastAsia="仿宋_GB2312" w:cs="ArialUnicodeMS"/>
                <w:kern w:val="0"/>
                <w:sz w:val="28"/>
                <w:szCs w:val="28"/>
              </w:rPr>
            </w:pPr>
            <w:r>
              <w:rPr>
                <w:rFonts w:hint="eastAsia" w:ascii="仿宋_GB2312" w:hAnsi="Calibri" w:eastAsia="仿宋_GB2312" w:cs="ArialUnicodeMS"/>
                <w:kern w:val="0"/>
                <w:sz w:val="28"/>
                <w:szCs w:val="28"/>
                <w:lang w:eastAsia="zh-CN"/>
              </w:rPr>
              <w:t>财政补助事业单位</w:t>
            </w:r>
          </w:p>
        </w:tc>
        <w:tc>
          <w:tcPr>
            <w:tcW w:w="2665" w:type="dxa"/>
            <w:vAlign w:val="center"/>
          </w:tcPr>
          <w:p>
            <w:pPr>
              <w:spacing w:line="560" w:lineRule="exact"/>
              <w:jc w:val="center"/>
              <w:rPr>
                <w:rFonts w:ascii="仿宋_GB2312" w:hAnsi="Calibri" w:eastAsia="仿宋_GB2312" w:cs="ArialUnicodeMS"/>
                <w:kern w:val="0"/>
                <w:sz w:val="28"/>
                <w:szCs w:val="28"/>
              </w:rPr>
            </w:pPr>
            <w:r>
              <w:rPr>
                <w:rFonts w:hint="eastAsia" w:ascii="仿宋_GB2312" w:hAnsi="Calibri" w:eastAsia="仿宋_GB2312" w:cs="ArialUnicodeMS"/>
                <w:kern w:val="0"/>
                <w:sz w:val="28"/>
                <w:szCs w:val="28"/>
                <w:lang w:eastAsia="zh-CN"/>
              </w:rPr>
              <w:t>财政性资金定额或定项补助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80" w:type="dxa"/>
            <w:gridSpan w:val="4"/>
            <w:tcBorders>
              <w:top w:val="single" w:color="auto" w:sz="4" w:space="0"/>
              <w:left w:val="nil"/>
              <w:bottom w:val="nil"/>
              <w:right w:val="nil"/>
            </w:tcBorders>
          </w:tcPr>
          <w:p>
            <w:pPr>
              <w:spacing w:line="560" w:lineRule="exact"/>
              <w:jc w:val="left"/>
              <w:rPr>
                <w:rFonts w:ascii="仿宋_GB2312" w:hAnsi="Calibri" w:eastAsia="仿宋_GB2312" w:cs="ArialUnicodeMS"/>
                <w:kern w:val="0"/>
                <w:sz w:val="28"/>
                <w:szCs w:val="28"/>
              </w:rPr>
            </w:pPr>
            <w:r>
              <w:rPr>
                <w:rFonts w:hint="eastAsia" w:ascii="仿宋_GB2312" w:hAnsi="Calibri" w:eastAsia="仿宋_GB2312" w:cs="ArialUnicodeMS"/>
                <w:kern w:val="0"/>
                <w:sz w:val="28"/>
                <w:szCs w:val="28"/>
              </w:rPr>
              <w:t>注：1、单位基本性质分为行政单位、参公事业单位、财政补助事业单位、经费自理事业单位四类。</w:t>
            </w:r>
          </w:p>
          <w:p>
            <w:pPr>
              <w:spacing w:line="560" w:lineRule="exact"/>
              <w:ind w:firstLine="560" w:firstLineChars="200"/>
              <w:jc w:val="left"/>
              <w:rPr>
                <w:rFonts w:ascii="仿宋_GB2312" w:hAnsi="Calibri" w:eastAsia="仿宋_GB2312" w:cs="ArialUnicodeMS"/>
                <w:kern w:val="0"/>
                <w:sz w:val="28"/>
                <w:szCs w:val="28"/>
              </w:rPr>
            </w:pPr>
            <w:r>
              <w:rPr>
                <w:rFonts w:hint="eastAsia" w:ascii="仿宋_GB2312" w:hAnsi="Calibri" w:eastAsia="仿宋_GB2312" w:cs="ArialUnicodeMS"/>
                <w:kern w:val="0"/>
                <w:sz w:val="28"/>
                <w:szCs w:val="28"/>
              </w:rPr>
              <w:t>2、经费形式分为财政拨款、财政性资金基本保证、财政性资金定额或定项补助、财政性资金零补助四类。</w:t>
            </w:r>
          </w:p>
        </w:tc>
      </w:tr>
    </w:tbl>
    <w:p>
      <w:pPr>
        <w:rPr>
          <w:rFonts w:ascii="Times New Roman" w:hAnsi="Times New Roman" w:eastAsia="黑体" w:cs="Times New Roman"/>
          <w:sz w:val="32"/>
          <w:szCs w:val="32"/>
          <w:highlight w:val="yellow"/>
        </w:rPr>
      </w:pPr>
      <w:r>
        <w:rPr>
          <w:rFonts w:hint="eastAsia" w:ascii="Times New Roman" w:hAnsi="Times New Roman" w:eastAsia="黑体" w:cs="Times New Roman"/>
          <w:sz w:val="32"/>
          <w:szCs w:val="32"/>
          <w:highlight w:val="yellow"/>
        </w:rPr>
        <w:br w:type="page"/>
      </w:r>
    </w:p>
    <w:p>
      <w:pPr>
        <w:widowControl/>
        <w:spacing w:after="160" w:line="580" w:lineRule="exact"/>
        <w:rPr>
          <w:rFonts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p>
    <w:p>
      <w:pPr>
        <w:widowControl/>
        <w:numPr>
          <w:ilvl w:val="0"/>
          <w:numId w:val="1"/>
        </w:numPr>
        <w:spacing w:after="312" w:afterLines="100" w:line="580" w:lineRule="exact"/>
        <w:ind w:left="1757"/>
        <w:jc w:val="both"/>
        <w:rPr>
          <w:rFonts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2023年度</w:t>
      </w:r>
      <w:r>
        <w:rPr>
          <w:rFonts w:hint="eastAsia" w:ascii="黑体" w:hAnsi="黑体" w:eastAsia="黑体" w:cs="黑体"/>
          <w:color w:val="000000" w:themeColor="text1"/>
          <w:sz w:val="44"/>
          <w:szCs w:val="44"/>
          <w:lang w:eastAsia="zh-CN"/>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单位</w:t>
      </w:r>
      <w:r>
        <w:rPr>
          <w:rFonts w:hint="eastAsia"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决算表</w:t>
      </w:r>
    </w:p>
    <w:tbl>
      <w:tblPr>
        <w:tblStyle w:val="6"/>
        <w:tblW w:w="10260" w:type="dxa"/>
        <w:jc w:val="center"/>
        <w:tblLayout w:type="fixed"/>
        <w:tblCellMar>
          <w:top w:w="15" w:type="dxa"/>
          <w:left w:w="15" w:type="dxa"/>
          <w:bottom w:w="15" w:type="dxa"/>
          <w:right w:w="15" w:type="dxa"/>
        </w:tblCellMar>
      </w:tblPr>
      <w:tblGrid>
        <w:gridCol w:w="3490"/>
        <w:gridCol w:w="536"/>
        <w:gridCol w:w="26"/>
        <w:gridCol w:w="1324"/>
        <w:gridCol w:w="814"/>
        <w:gridCol w:w="2469"/>
        <w:gridCol w:w="502"/>
        <w:gridCol w:w="1099"/>
      </w:tblGrid>
      <w:tr>
        <w:tblPrEx>
          <w:tblCellMar>
            <w:top w:w="15" w:type="dxa"/>
            <w:left w:w="15" w:type="dxa"/>
            <w:bottom w:w="15" w:type="dxa"/>
            <w:right w:w="15" w:type="dxa"/>
          </w:tblCellMar>
        </w:tblPrEx>
        <w:trPr>
          <w:trHeight w:val="917" w:hRule="exact"/>
          <w:jc w:val="center"/>
        </w:trPr>
        <w:tc>
          <w:tcPr>
            <w:tcW w:w="10260" w:type="dxa"/>
            <w:gridSpan w:val="8"/>
            <w:tcBorders>
              <w:top w:val="nil"/>
              <w:left w:val="nil"/>
              <w:bottom w:val="nil"/>
              <w:right w:val="nil"/>
            </w:tcBorders>
            <w:shd w:val="clear" w:color="auto" w:fill="FFFFFF"/>
            <w:vAlign w:val="bottom"/>
          </w:tcPr>
          <w:p>
            <w:pPr>
              <w:widowControl/>
              <w:spacing w:line="500" w:lineRule="exact"/>
              <w:jc w:val="center"/>
              <w:textAlignment w:val="center"/>
              <w:rPr>
                <w:rFonts w:ascii="Times New Roman" w:hAnsi="Times New Roman" w:eastAsia="仿宋_GB2312"/>
                <w:b/>
                <w:bCs/>
                <w:sz w:val="36"/>
                <w:szCs w:val="36"/>
              </w:rPr>
            </w:pPr>
          </w:p>
          <w:p>
            <w:pPr>
              <w:widowControl/>
              <w:spacing w:line="500" w:lineRule="exact"/>
              <w:jc w:val="center"/>
              <w:textAlignment w:val="center"/>
              <w:rPr>
                <w:rFonts w:ascii="Times New Roman" w:hAnsi="Times New Roman" w:eastAsia="仿宋_GB2312"/>
                <w:b/>
                <w:bCs/>
                <w:sz w:val="36"/>
                <w:szCs w:val="36"/>
              </w:rPr>
            </w:pPr>
            <w:r>
              <w:rPr>
                <w:rFonts w:hint="eastAsia" w:ascii="Times New Roman" w:hAnsi="Times New Roman" w:eastAsia="仿宋_GB2312"/>
                <w:b/>
                <w:bCs/>
                <w:sz w:val="36"/>
                <w:szCs w:val="36"/>
              </w:rPr>
              <w:t>收入支出决算总表</w:t>
            </w:r>
          </w:p>
          <w:p>
            <w:pPr>
              <w:widowControl/>
              <w:jc w:val="center"/>
              <w:textAlignment w:val="center"/>
              <w:rPr>
                <w:rFonts w:ascii="Times New Roman" w:hAnsi="Times New Roman" w:eastAsia="仿宋_GB2312"/>
                <w:b/>
                <w:bCs/>
                <w:sz w:val="32"/>
                <w:szCs w:val="32"/>
              </w:rPr>
            </w:pPr>
          </w:p>
        </w:tc>
      </w:tr>
      <w:tr>
        <w:tblPrEx>
          <w:tblCellMar>
            <w:top w:w="15" w:type="dxa"/>
            <w:left w:w="15" w:type="dxa"/>
            <w:bottom w:w="15" w:type="dxa"/>
            <w:right w:w="15" w:type="dxa"/>
          </w:tblCellMar>
        </w:tblPrEx>
        <w:trPr>
          <w:trHeight w:val="358" w:hRule="exact"/>
          <w:jc w:val="center"/>
        </w:trPr>
        <w:tc>
          <w:tcPr>
            <w:tcW w:w="10260" w:type="dxa"/>
            <w:gridSpan w:val="8"/>
            <w:tcBorders>
              <w:top w:val="nil"/>
              <w:left w:val="nil"/>
              <w:bottom w:val="nil"/>
              <w:right w:val="nil"/>
            </w:tcBorders>
            <w:shd w:val="clear" w:color="auto" w:fill="FFFFFF"/>
            <w:vAlign w:val="center"/>
          </w:tcPr>
          <w:p>
            <w:pPr>
              <w:widowControl/>
              <w:jc w:val="right"/>
              <w:textAlignment w:val="center"/>
              <w:rPr>
                <w:rFonts w:ascii="宋体" w:hAnsi="宋体" w:eastAsia="宋体" w:cs="宋体"/>
                <w:color w:val="000000"/>
                <w:kern w:val="0"/>
                <w:sz w:val="22"/>
                <w:lang w:bidi="ar"/>
              </w:rPr>
            </w:pPr>
            <w:r>
              <w:rPr>
                <w:rFonts w:hint="eastAsia" w:ascii="宋体" w:hAnsi="宋体" w:eastAsia="宋体" w:cs="宋体"/>
                <w:color w:val="000000"/>
                <w:kern w:val="0"/>
                <w:sz w:val="20"/>
                <w:szCs w:val="20"/>
                <w:lang w:bidi="ar"/>
              </w:rPr>
              <w:t>公开01表</w:t>
            </w:r>
          </w:p>
        </w:tc>
      </w:tr>
      <w:tr>
        <w:tblPrEx>
          <w:tblCellMar>
            <w:top w:w="15" w:type="dxa"/>
            <w:left w:w="15" w:type="dxa"/>
            <w:bottom w:w="15" w:type="dxa"/>
            <w:right w:w="15" w:type="dxa"/>
          </w:tblCellMar>
        </w:tblPrEx>
        <w:trPr>
          <w:trHeight w:val="350" w:hRule="exact"/>
          <w:jc w:val="center"/>
        </w:trPr>
        <w:tc>
          <w:tcPr>
            <w:tcW w:w="4052" w:type="dxa"/>
            <w:gridSpan w:val="3"/>
            <w:tcBorders>
              <w:top w:val="nil"/>
              <w:left w:val="nil"/>
              <w:bottom w:val="single" w:color="auto" w:sz="4" w:space="0"/>
              <w:right w:val="nil"/>
            </w:tcBorders>
            <w:shd w:val="clear" w:color="auto" w:fill="FFFFFF"/>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eastAsia="zh-CN" w:bidi="ar"/>
              </w:rPr>
              <w:t>单位</w:t>
            </w: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val="en-US" w:eastAsia="zh-CN" w:bidi="ar"/>
              </w:rPr>
              <w:t>石家庄循环化工园区医院</w:t>
            </w:r>
            <w:r>
              <w:rPr>
                <w:rFonts w:hint="eastAsia" w:ascii="宋体" w:hAnsi="宋体" w:eastAsia="宋体" w:cs="宋体"/>
                <w:color w:val="000000"/>
                <w:kern w:val="0"/>
                <w:sz w:val="20"/>
                <w:szCs w:val="20"/>
                <w:lang w:eastAsia="zh-CN" w:bidi="ar"/>
              </w:rPr>
              <w:t xml:space="preserve">  </w:t>
            </w:r>
            <w:r>
              <w:rPr>
                <w:rFonts w:hint="eastAsia" w:ascii="宋体" w:hAnsi="宋体" w:eastAsia="宋体" w:cs="宋体"/>
                <w:color w:val="000000"/>
                <w:kern w:val="0"/>
                <w:sz w:val="20"/>
                <w:szCs w:val="20"/>
                <w:lang w:bidi="ar"/>
              </w:rPr>
              <w:t xml:space="preserve">           </w:t>
            </w:r>
          </w:p>
        </w:tc>
        <w:tc>
          <w:tcPr>
            <w:tcW w:w="2138" w:type="dxa"/>
            <w:gridSpan w:val="2"/>
            <w:tcBorders>
              <w:top w:val="nil"/>
              <w:left w:val="nil"/>
              <w:bottom w:val="single" w:color="auto" w:sz="4" w:space="0"/>
              <w:right w:val="nil"/>
            </w:tcBorders>
            <w:shd w:val="clear" w:color="auto" w:fill="FFFFFF"/>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2023年度</w:t>
            </w:r>
          </w:p>
        </w:tc>
        <w:tc>
          <w:tcPr>
            <w:tcW w:w="4070" w:type="dxa"/>
            <w:gridSpan w:val="3"/>
            <w:tcBorders>
              <w:top w:val="nil"/>
              <w:left w:val="nil"/>
              <w:bottom w:val="single" w:color="auto" w:sz="4" w:space="0"/>
              <w:right w:val="nil"/>
            </w:tcBorders>
            <w:shd w:val="clear" w:color="auto" w:fill="FFFFFF"/>
            <w:vAlign w:val="center"/>
          </w:tcPr>
          <w:p>
            <w:pPr>
              <w:widowControl/>
              <w:jc w:val="righ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eastAsia="zh-CN" w:bidi="ar"/>
              </w:rPr>
              <w:t>金额</w:t>
            </w:r>
            <w:r>
              <w:rPr>
                <w:rFonts w:hint="eastAsia" w:ascii="宋体" w:hAnsi="宋体" w:eastAsia="宋体" w:cs="宋体"/>
                <w:color w:val="000000"/>
                <w:kern w:val="0"/>
                <w:sz w:val="20"/>
                <w:szCs w:val="20"/>
                <w:lang w:bidi="ar"/>
              </w:rPr>
              <w:t>单位：万元</w:t>
            </w:r>
          </w:p>
        </w:tc>
      </w:tr>
      <w:tr>
        <w:tblPrEx>
          <w:tblCellMar>
            <w:top w:w="15" w:type="dxa"/>
            <w:left w:w="15" w:type="dxa"/>
            <w:bottom w:w="15" w:type="dxa"/>
            <w:right w:w="15" w:type="dxa"/>
          </w:tblCellMar>
        </w:tblPrEx>
        <w:trPr>
          <w:trHeight w:val="544" w:hRule="exact"/>
          <w:jc w:val="center"/>
        </w:trPr>
        <w:tc>
          <w:tcPr>
            <w:tcW w:w="537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收入</w:t>
            </w:r>
          </w:p>
        </w:tc>
        <w:tc>
          <w:tcPr>
            <w:tcW w:w="4884"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支出</w:t>
            </w:r>
          </w:p>
        </w:tc>
      </w:tr>
      <w:tr>
        <w:tblPrEx>
          <w:tblCellMar>
            <w:top w:w="15" w:type="dxa"/>
            <w:left w:w="15" w:type="dxa"/>
            <w:bottom w:w="15" w:type="dxa"/>
            <w:right w:w="15" w:type="dxa"/>
          </w:tblCellMar>
        </w:tblPrEx>
        <w:trPr>
          <w:trHeight w:val="600" w:hRule="exact"/>
          <w:jc w:val="center"/>
        </w:trPr>
        <w:tc>
          <w:tcPr>
            <w:tcW w:w="349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53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行次</w:t>
            </w:r>
          </w:p>
        </w:tc>
        <w:tc>
          <w:tcPr>
            <w:tcW w:w="13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决算数</w:t>
            </w:r>
          </w:p>
        </w:tc>
        <w:tc>
          <w:tcPr>
            <w:tcW w:w="328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50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行次</w:t>
            </w:r>
          </w:p>
        </w:tc>
        <w:tc>
          <w:tcPr>
            <w:tcW w:w="109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决算数</w:t>
            </w:r>
          </w:p>
        </w:tc>
      </w:tr>
      <w:tr>
        <w:tblPrEx>
          <w:tblCellMar>
            <w:top w:w="15" w:type="dxa"/>
            <w:left w:w="15" w:type="dxa"/>
            <w:bottom w:w="15" w:type="dxa"/>
            <w:right w:w="15" w:type="dxa"/>
          </w:tblCellMar>
        </w:tblPrEx>
        <w:trPr>
          <w:trHeight w:val="474" w:hRule="exact"/>
          <w:jc w:val="center"/>
        </w:trPr>
        <w:tc>
          <w:tcPr>
            <w:tcW w:w="349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    次</w:t>
            </w:r>
          </w:p>
        </w:tc>
        <w:tc>
          <w:tcPr>
            <w:tcW w:w="53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eastAsia="宋体" w:cs="宋体"/>
                <w:color w:val="000000"/>
                <w:sz w:val="24"/>
              </w:rPr>
            </w:pPr>
          </w:p>
        </w:tc>
        <w:tc>
          <w:tcPr>
            <w:tcW w:w="13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1</w:t>
            </w:r>
          </w:p>
        </w:tc>
        <w:tc>
          <w:tcPr>
            <w:tcW w:w="328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    次</w:t>
            </w:r>
          </w:p>
        </w:tc>
        <w:tc>
          <w:tcPr>
            <w:tcW w:w="50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eastAsia="宋体" w:cs="宋体"/>
                <w:color w:val="000000"/>
                <w:sz w:val="24"/>
              </w:rPr>
            </w:pPr>
          </w:p>
        </w:tc>
        <w:tc>
          <w:tcPr>
            <w:tcW w:w="109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2</w:t>
            </w:r>
          </w:p>
        </w:tc>
      </w:tr>
      <w:tr>
        <w:tblPrEx>
          <w:tblCellMar>
            <w:top w:w="15" w:type="dxa"/>
            <w:left w:w="15" w:type="dxa"/>
            <w:bottom w:w="15" w:type="dxa"/>
            <w:right w:w="15" w:type="dxa"/>
          </w:tblCellMar>
        </w:tblPrEx>
        <w:trPr>
          <w:trHeight w:val="474" w:hRule="exact"/>
          <w:jc w:val="center"/>
        </w:trPr>
        <w:tc>
          <w:tcPr>
            <w:tcW w:w="349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2"/>
              </w:rPr>
            </w:pPr>
            <w:r>
              <w:rPr>
                <w:rFonts w:hint="eastAsia"/>
              </w:rPr>
              <w:t>一、一般公共预算财政拨款收入</w:t>
            </w:r>
          </w:p>
        </w:tc>
        <w:tc>
          <w:tcPr>
            <w:tcW w:w="536" w:type="dxa"/>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1</w:t>
            </w:r>
          </w:p>
        </w:tc>
        <w:tc>
          <w:tcPr>
            <w:tcW w:w="135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325.59</w:t>
            </w:r>
          </w:p>
        </w:tc>
        <w:tc>
          <w:tcPr>
            <w:tcW w:w="3283" w:type="dxa"/>
            <w:gridSpan w:val="2"/>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一、一般公共服务支出</w:t>
            </w:r>
          </w:p>
        </w:tc>
        <w:tc>
          <w:tcPr>
            <w:tcW w:w="502" w:type="dxa"/>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32</w:t>
            </w:r>
          </w:p>
        </w:tc>
        <w:tc>
          <w:tcPr>
            <w:tcW w:w="1099"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二、政府性基金预算财政拨款收入</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2</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二、外交支出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33</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2"/>
              </w:rPr>
            </w:pPr>
            <w:r>
              <w:rPr>
                <w:rFonts w:hint="eastAsia"/>
              </w:rPr>
              <w:t>三、国有资本经营预算财政拨款收入</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三、国防支出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34</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四、上级补助收入</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4</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四、公共安全支出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35</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五、事业收入</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5</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r>
              <w:rPr>
                <w:rFonts w:hint="default" w:ascii="宋体" w:hAnsi="宋体" w:eastAsia="宋体" w:cs="宋体"/>
                <w:color w:val="000000"/>
                <w:sz w:val="22"/>
                <w:lang w:val="en-US" w:eastAsia="zh-CN"/>
              </w:rPr>
              <w:t>9,143.47</w:t>
            </w: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五、教育支出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36</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六、经营收入</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6</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六、科学技术支出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37</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七、附属单位上缴收入</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7</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rPr>
              <w:t>七、文化旅游体育与传媒支出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rPr>
              <w:t>八、其他收入</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8</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r>
              <w:rPr>
                <w:rFonts w:hint="default" w:ascii="宋体" w:hAnsi="宋体" w:eastAsia="宋体" w:cs="宋体"/>
                <w:color w:val="000000"/>
                <w:sz w:val="22"/>
                <w:lang w:val="en-US" w:eastAsia="zh-CN"/>
              </w:rPr>
              <w:t>233.32</w:t>
            </w: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2"/>
              </w:rPr>
            </w:pPr>
            <w:r>
              <w:rPr>
                <w:rFonts w:hint="eastAsia"/>
              </w:rPr>
              <w:t>八、社会保障和就业支出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39</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9</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九、卫生健康支出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40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b/>
                <w:color w:val="000000"/>
                <w:sz w:val="22"/>
              </w:rPr>
            </w:pPr>
            <w:r>
              <w:rPr>
                <w:rFonts w:hint="default" w:ascii="宋体" w:hAnsi="宋体" w:eastAsia="宋体" w:cs="宋体"/>
                <w:color w:val="000000"/>
                <w:sz w:val="22"/>
                <w:lang w:val="en-US" w:eastAsia="zh-CN"/>
              </w:rPr>
              <w:t>9,616.26</w:t>
            </w: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10</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十、节能环保支出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41</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11</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十一、城乡社区支出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42</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12</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十二、农林水支出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43</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13</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十三、交通运输支出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44</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14</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十四、资源勘探工业信息等支出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45</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15</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十五、商业服务业等支出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46</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16</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十六、金融支出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47</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563"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17</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十七、援助其他地区支出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48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bl>
    <w:p>
      <w:pPr>
        <w:jc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br w:type="page"/>
      </w:r>
    </w:p>
    <w:tbl>
      <w:tblPr>
        <w:tblStyle w:val="6"/>
        <w:tblW w:w="10260" w:type="dxa"/>
        <w:jc w:val="center"/>
        <w:tblLayout w:type="fixed"/>
        <w:tblCellMar>
          <w:top w:w="15" w:type="dxa"/>
          <w:left w:w="15" w:type="dxa"/>
          <w:bottom w:w="15" w:type="dxa"/>
          <w:right w:w="15" w:type="dxa"/>
        </w:tblCellMar>
      </w:tblPr>
      <w:tblGrid>
        <w:gridCol w:w="3490"/>
        <w:gridCol w:w="536"/>
        <w:gridCol w:w="1350"/>
        <w:gridCol w:w="3283"/>
        <w:gridCol w:w="502"/>
        <w:gridCol w:w="1099"/>
      </w:tblGrid>
      <w:tr>
        <w:tblPrEx>
          <w:tblCellMar>
            <w:top w:w="15" w:type="dxa"/>
            <w:left w:w="15" w:type="dxa"/>
            <w:bottom w:w="15" w:type="dxa"/>
            <w:right w:w="15" w:type="dxa"/>
          </w:tblCellMar>
        </w:tblPrEx>
        <w:trPr>
          <w:trHeight w:val="474" w:hRule="exact"/>
          <w:jc w:val="center"/>
        </w:trPr>
        <w:tc>
          <w:tcPr>
            <w:tcW w:w="53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2"/>
              </w:rPr>
            </w:pPr>
            <w:r>
              <w:rPr>
                <w:rFonts w:hint="eastAsia" w:ascii="宋体" w:hAnsi="宋体" w:eastAsia="宋体" w:cs="宋体"/>
                <w:b/>
                <w:bCs/>
                <w:color w:val="000000"/>
                <w:kern w:val="0"/>
                <w:sz w:val="24"/>
                <w:szCs w:val="24"/>
                <w:lang w:bidi="ar"/>
              </w:rPr>
              <w:t>收入</w:t>
            </w:r>
          </w:p>
        </w:tc>
        <w:tc>
          <w:tcPr>
            <w:tcW w:w="48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2"/>
              </w:rPr>
            </w:pPr>
            <w:r>
              <w:rPr>
                <w:rFonts w:hint="eastAsia" w:ascii="宋体" w:hAnsi="宋体" w:eastAsia="宋体" w:cs="宋体"/>
                <w:b/>
                <w:bCs/>
                <w:color w:val="000000"/>
                <w:kern w:val="0"/>
                <w:sz w:val="24"/>
                <w:szCs w:val="24"/>
                <w:lang w:bidi="ar"/>
              </w:rPr>
              <w:t>支出</w:t>
            </w: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行次</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决算数</w:t>
            </w: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行次</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决算数</w:t>
            </w: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    次</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1</w:t>
            </w: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    次</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2</w:t>
            </w: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18</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十八、自然资源海洋气象等支出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49</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19</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十九、住房保障支出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二十、粮油物资储备支出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51</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二十一、国有资本经营预算支出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52</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22</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二十二、灾害防治及应急管理支出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53</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23</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二十三、其他支出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54</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二十四、债务还本支出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55</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25</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二十五、债务付息支出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56</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26</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二十六、抗疫特别国债安排的支出</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57</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b/>
                <w:bCs/>
              </w:rPr>
              <w:t>本年收入合计</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27</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9,702.37</w:t>
            </w: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b/>
                <w:bCs/>
              </w:rPr>
              <w:t>本年支出合计</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9,616.26</w:t>
            </w: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使用非财政拨款结余（含专用结余）</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28</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结余分配</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59</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144.75</w:t>
            </w: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年初结转和结余</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29</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58.64</w:t>
            </w: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rPr>
              <w:t>年末结转和结余</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60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r>
      <w:tr>
        <w:tblPrEx>
          <w:tblCellMar>
            <w:top w:w="15" w:type="dxa"/>
            <w:left w:w="15" w:type="dxa"/>
            <w:bottom w:w="15" w:type="dxa"/>
            <w:right w:w="15" w:type="dxa"/>
          </w:tblCellMar>
        </w:tblPrEx>
        <w:trPr>
          <w:trHeight w:val="474"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30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61</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r>
      <w:tr>
        <w:tblPrEx>
          <w:tblCellMar>
            <w:top w:w="15" w:type="dxa"/>
            <w:left w:w="15" w:type="dxa"/>
            <w:bottom w:w="15" w:type="dxa"/>
            <w:right w:w="15" w:type="dxa"/>
          </w:tblCellMar>
        </w:tblPrEx>
        <w:trPr>
          <w:trHeight w:val="515" w:hRule="exact"/>
          <w:jc w:val="center"/>
        </w:trPr>
        <w:tc>
          <w:tcPr>
            <w:tcW w:w="34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2"/>
              </w:rPr>
            </w:pPr>
            <w:r>
              <w:rPr>
                <w:rFonts w:hint="eastAsia"/>
                <w:b/>
                <w:bCs/>
              </w:rPr>
              <w:t>总计</w:t>
            </w:r>
          </w:p>
        </w:tc>
        <w:tc>
          <w:tcPr>
            <w:tcW w:w="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31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9,761.01</w:t>
            </w:r>
          </w:p>
        </w:tc>
        <w:tc>
          <w:tcPr>
            <w:tcW w:w="32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2"/>
              </w:rPr>
            </w:pPr>
            <w:r>
              <w:rPr>
                <w:rFonts w:hint="eastAsia"/>
                <w:b/>
                <w:bCs/>
              </w:rPr>
              <w:t>总计</w:t>
            </w:r>
          </w:p>
        </w:tc>
        <w:tc>
          <w:tcPr>
            <w:tcW w:w="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62</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9,761.01</w:t>
            </w:r>
          </w:p>
        </w:tc>
      </w:tr>
    </w:tbl>
    <w:p>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注：1.本表反映</w:t>
      </w:r>
      <w:r>
        <w:rPr>
          <w:rFonts w:hint="eastAsia" w:ascii="宋体" w:hAnsi="宋体" w:eastAsia="宋体" w:cs="宋体"/>
          <w:color w:val="000000"/>
          <w:kern w:val="0"/>
          <w:sz w:val="24"/>
          <w:szCs w:val="24"/>
          <w:lang w:eastAsia="zh-CN" w:bidi="ar"/>
        </w:rPr>
        <w:t>单位</w:t>
      </w:r>
      <w:r>
        <w:rPr>
          <w:rFonts w:hint="eastAsia" w:ascii="宋体" w:hAnsi="宋体" w:eastAsia="宋体" w:cs="宋体"/>
          <w:color w:val="000000"/>
          <w:kern w:val="0"/>
          <w:sz w:val="24"/>
          <w:szCs w:val="24"/>
          <w:lang w:bidi="ar"/>
        </w:rPr>
        <w:t>本年度的总收支和年末结转结余情况。</w:t>
      </w:r>
    </w:p>
    <w:p>
      <w:pPr>
        <w:sectPr>
          <w:headerReference r:id="rId7" w:type="default"/>
          <w:pgSz w:w="11906" w:h="16838"/>
          <w:pgMar w:top="1474" w:right="1474" w:bottom="1474" w:left="1474" w:header="851" w:footer="992" w:gutter="0"/>
          <w:cols w:space="0" w:num="1"/>
          <w:docGrid w:type="lines" w:linePitch="312" w:charSpace="0"/>
        </w:sectPr>
      </w:pPr>
      <w:r>
        <w:rPr>
          <w:rFonts w:hint="eastAsia" w:ascii="宋体" w:hAnsi="宋体" w:eastAsia="宋体" w:cs="宋体"/>
          <w:color w:val="000000"/>
          <w:kern w:val="0"/>
          <w:sz w:val="24"/>
          <w:szCs w:val="24"/>
          <w:lang w:bidi="ar"/>
        </w:rPr>
        <w:t xml:space="preserve">    2.本套报表金额单位转换时可能存在尾数误差。</w:t>
      </w:r>
    </w:p>
    <w:tbl>
      <w:tblPr>
        <w:tblStyle w:val="6"/>
        <w:tblW w:w="10040" w:type="dxa"/>
        <w:jc w:val="center"/>
        <w:tblLayout w:type="fixed"/>
        <w:tblCellMar>
          <w:top w:w="15" w:type="dxa"/>
          <w:left w:w="15" w:type="dxa"/>
          <w:bottom w:w="15" w:type="dxa"/>
          <w:right w:w="15" w:type="dxa"/>
        </w:tblCellMar>
      </w:tblPr>
      <w:tblGrid>
        <w:gridCol w:w="793"/>
        <w:gridCol w:w="350"/>
        <w:gridCol w:w="1680"/>
        <w:gridCol w:w="1200"/>
        <w:gridCol w:w="1106"/>
        <w:gridCol w:w="982"/>
        <w:gridCol w:w="982"/>
        <w:gridCol w:w="982"/>
        <w:gridCol w:w="982"/>
        <w:gridCol w:w="983"/>
      </w:tblGrid>
      <w:tr>
        <w:tblPrEx>
          <w:tblCellMar>
            <w:top w:w="15" w:type="dxa"/>
            <w:left w:w="15" w:type="dxa"/>
            <w:bottom w:w="15" w:type="dxa"/>
            <w:right w:w="15" w:type="dxa"/>
          </w:tblCellMar>
        </w:tblPrEx>
        <w:trPr>
          <w:trHeight w:val="666" w:hRule="atLeast"/>
          <w:jc w:val="center"/>
        </w:trPr>
        <w:tc>
          <w:tcPr>
            <w:tcW w:w="10040" w:type="dxa"/>
            <w:gridSpan w:val="10"/>
            <w:shd w:val="clear" w:color="auto" w:fill="auto"/>
            <w:vAlign w:val="center"/>
          </w:tcPr>
          <w:p>
            <w:pPr>
              <w:widowControl/>
              <w:jc w:val="center"/>
              <w:textAlignment w:val="center"/>
              <w:rPr>
                <w:rFonts w:ascii="华文中宋" w:hAnsi="华文中宋" w:eastAsia="华文中宋" w:cs="华文中宋"/>
                <w:b/>
                <w:bCs/>
                <w:color w:val="000000"/>
                <w:sz w:val="32"/>
                <w:szCs w:val="32"/>
              </w:rPr>
            </w:pPr>
            <w:r>
              <w:rPr>
                <w:rFonts w:hint="eastAsia" w:ascii="华文中宋" w:hAnsi="华文中宋" w:eastAsia="华文中宋" w:cs="华文中宋"/>
                <w:b/>
                <w:bCs/>
                <w:color w:val="000000"/>
                <w:kern w:val="0"/>
                <w:sz w:val="32"/>
                <w:szCs w:val="32"/>
                <w:lang w:bidi="ar"/>
              </w:rPr>
              <w:t>收入决算表</w:t>
            </w:r>
          </w:p>
        </w:tc>
      </w:tr>
      <w:tr>
        <w:tblPrEx>
          <w:tblCellMar>
            <w:top w:w="15" w:type="dxa"/>
            <w:left w:w="15" w:type="dxa"/>
            <w:bottom w:w="15" w:type="dxa"/>
            <w:right w:w="15" w:type="dxa"/>
          </w:tblCellMar>
        </w:tblPrEx>
        <w:trPr>
          <w:trHeight w:val="348" w:hRule="atLeast"/>
          <w:jc w:val="center"/>
        </w:trPr>
        <w:tc>
          <w:tcPr>
            <w:tcW w:w="793" w:type="dxa"/>
            <w:shd w:val="clear" w:color="auto" w:fill="FFFFFF"/>
            <w:vAlign w:val="center"/>
          </w:tcPr>
          <w:p>
            <w:pPr>
              <w:jc w:val="right"/>
              <w:rPr>
                <w:rFonts w:ascii="宋体" w:hAnsi="宋体" w:eastAsia="宋体" w:cs="宋体"/>
                <w:color w:val="000000"/>
                <w:sz w:val="24"/>
              </w:rPr>
            </w:pPr>
          </w:p>
        </w:tc>
        <w:tc>
          <w:tcPr>
            <w:tcW w:w="350" w:type="dxa"/>
            <w:shd w:val="clear" w:color="auto" w:fill="FFFFFF"/>
            <w:vAlign w:val="center"/>
          </w:tcPr>
          <w:p>
            <w:pPr>
              <w:jc w:val="right"/>
              <w:rPr>
                <w:rFonts w:ascii="宋体" w:hAnsi="宋体" w:eastAsia="宋体" w:cs="宋体"/>
                <w:color w:val="000000"/>
                <w:sz w:val="24"/>
              </w:rPr>
            </w:pPr>
          </w:p>
        </w:tc>
        <w:tc>
          <w:tcPr>
            <w:tcW w:w="1680" w:type="dxa"/>
            <w:shd w:val="clear" w:color="auto" w:fill="FFFFFF"/>
            <w:vAlign w:val="center"/>
          </w:tcPr>
          <w:p>
            <w:pPr>
              <w:jc w:val="right"/>
              <w:rPr>
                <w:rFonts w:ascii="宋体" w:hAnsi="宋体" w:eastAsia="宋体" w:cs="宋体"/>
                <w:color w:val="000000"/>
                <w:sz w:val="24"/>
              </w:rPr>
            </w:pPr>
          </w:p>
        </w:tc>
        <w:tc>
          <w:tcPr>
            <w:tcW w:w="1200" w:type="dxa"/>
            <w:shd w:val="clear" w:color="auto" w:fill="FFFFFF"/>
            <w:vAlign w:val="center"/>
          </w:tcPr>
          <w:p>
            <w:pPr>
              <w:jc w:val="right"/>
              <w:rPr>
                <w:rFonts w:ascii="宋体" w:hAnsi="宋体" w:eastAsia="宋体" w:cs="宋体"/>
                <w:color w:val="000000"/>
                <w:sz w:val="24"/>
              </w:rPr>
            </w:pPr>
          </w:p>
        </w:tc>
        <w:tc>
          <w:tcPr>
            <w:tcW w:w="1106" w:type="dxa"/>
            <w:shd w:val="clear" w:color="auto" w:fill="FFFFFF"/>
            <w:vAlign w:val="center"/>
          </w:tcPr>
          <w:p>
            <w:pPr>
              <w:jc w:val="right"/>
              <w:rPr>
                <w:rFonts w:ascii="宋体" w:hAnsi="宋体" w:eastAsia="宋体" w:cs="宋体"/>
                <w:color w:val="000000"/>
                <w:sz w:val="24"/>
              </w:rPr>
            </w:pPr>
          </w:p>
        </w:tc>
        <w:tc>
          <w:tcPr>
            <w:tcW w:w="982" w:type="dxa"/>
            <w:shd w:val="clear" w:color="auto" w:fill="FFFFFF"/>
            <w:vAlign w:val="center"/>
          </w:tcPr>
          <w:p>
            <w:pPr>
              <w:jc w:val="right"/>
              <w:rPr>
                <w:rFonts w:ascii="宋体" w:hAnsi="宋体" w:eastAsia="宋体" w:cs="宋体"/>
                <w:color w:val="000000"/>
                <w:sz w:val="24"/>
              </w:rPr>
            </w:pPr>
          </w:p>
        </w:tc>
        <w:tc>
          <w:tcPr>
            <w:tcW w:w="982" w:type="dxa"/>
            <w:shd w:val="clear" w:color="auto" w:fill="FFFFFF"/>
            <w:vAlign w:val="center"/>
          </w:tcPr>
          <w:p>
            <w:pPr>
              <w:jc w:val="right"/>
              <w:rPr>
                <w:rFonts w:ascii="宋体" w:hAnsi="宋体" w:eastAsia="宋体" w:cs="宋体"/>
                <w:color w:val="000000"/>
                <w:sz w:val="24"/>
              </w:rPr>
            </w:pPr>
          </w:p>
        </w:tc>
        <w:tc>
          <w:tcPr>
            <w:tcW w:w="982" w:type="dxa"/>
            <w:shd w:val="clear" w:color="auto" w:fill="FFFFFF"/>
            <w:vAlign w:val="center"/>
          </w:tcPr>
          <w:p>
            <w:pPr>
              <w:jc w:val="right"/>
              <w:rPr>
                <w:rFonts w:ascii="宋体" w:hAnsi="宋体" w:eastAsia="宋体" w:cs="宋体"/>
                <w:color w:val="000000"/>
                <w:sz w:val="24"/>
              </w:rPr>
            </w:pPr>
          </w:p>
        </w:tc>
        <w:tc>
          <w:tcPr>
            <w:tcW w:w="982" w:type="dxa"/>
            <w:shd w:val="clear" w:color="auto" w:fill="FFFFFF"/>
            <w:vAlign w:val="center"/>
          </w:tcPr>
          <w:p>
            <w:pPr>
              <w:jc w:val="right"/>
              <w:rPr>
                <w:rFonts w:ascii="宋体" w:hAnsi="宋体" w:eastAsia="宋体" w:cs="宋体"/>
                <w:color w:val="000000"/>
                <w:sz w:val="24"/>
              </w:rPr>
            </w:pPr>
          </w:p>
        </w:tc>
        <w:tc>
          <w:tcPr>
            <w:tcW w:w="983" w:type="dxa"/>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公开02表</w:t>
            </w:r>
          </w:p>
        </w:tc>
      </w:tr>
      <w:tr>
        <w:tblPrEx>
          <w:tblCellMar>
            <w:top w:w="15" w:type="dxa"/>
            <w:left w:w="15" w:type="dxa"/>
            <w:bottom w:w="15" w:type="dxa"/>
            <w:right w:w="15" w:type="dxa"/>
          </w:tblCellMar>
        </w:tblPrEx>
        <w:trPr>
          <w:trHeight w:val="348" w:hRule="atLeast"/>
          <w:jc w:val="center"/>
        </w:trPr>
        <w:tc>
          <w:tcPr>
            <w:tcW w:w="2823" w:type="dxa"/>
            <w:gridSpan w:val="3"/>
            <w:shd w:val="clear" w:color="auto" w:fill="FFFFFF"/>
            <w:vAlign w:val="center"/>
          </w:tcPr>
          <w:p>
            <w:pPr>
              <w:jc w:val="left"/>
              <w:rPr>
                <w:rFonts w:ascii="宋体" w:hAnsi="宋体" w:eastAsia="宋体" w:cs="宋体"/>
                <w:color w:val="000000"/>
                <w:sz w:val="24"/>
              </w:rPr>
            </w:pPr>
            <w:r>
              <w:rPr>
                <w:rFonts w:hint="eastAsia" w:ascii="宋体" w:hAnsi="宋体" w:eastAsia="宋体" w:cs="宋体"/>
                <w:color w:val="000000"/>
                <w:kern w:val="0"/>
                <w:sz w:val="20"/>
                <w:szCs w:val="20"/>
                <w:lang w:eastAsia="zh-CN" w:bidi="ar"/>
              </w:rPr>
              <w:t>单位</w:t>
            </w: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val="en-US" w:eastAsia="zh-CN" w:bidi="ar"/>
              </w:rPr>
              <w:t>石家庄循环化工园区医院</w:t>
            </w:r>
          </w:p>
        </w:tc>
        <w:tc>
          <w:tcPr>
            <w:tcW w:w="1200" w:type="dxa"/>
            <w:shd w:val="clear" w:color="auto" w:fill="FFFFFF"/>
            <w:vAlign w:val="center"/>
          </w:tcPr>
          <w:p>
            <w:pPr>
              <w:jc w:val="right"/>
              <w:rPr>
                <w:rFonts w:ascii="宋体" w:hAnsi="宋体" w:eastAsia="宋体" w:cs="宋体"/>
                <w:color w:val="000000"/>
                <w:sz w:val="24"/>
              </w:rPr>
            </w:pPr>
          </w:p>
        </w:tc>
        <w:tc>
          <w:tcPr>
            <w:tcW w:w="2088" w:type="dxa"/>
            <w:gridSpan w:val="2"/>
            <w:shd w:val="clear" w:color="auto" w:fill="FFFFFF"/>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2023年度</w:t>
            </w:r>
          </w:p>
        </w:tc>
        <w:tc>
          <w:tcPr>
            <w:tcW w:w="982" w:type="dxa"/>
            <w:shd w:val="clear" w:color="auto" w:fill="FFFFFF"/>
            <w:vAlign w:val="center"/>
          </w:tcPr>
          <w:p>
            <w:pPr>
              <w:jc w:val="right"/>
              <w:rPr>
                <w:rFonts w:ascii="宋体" w:hAnsi="宋体" w:eastAsia="宋体" w:cs="宋体"/>
                <w:color w:val="000000"/>
                <w:sz w:val="24"/>
              </w:rPr>
            </w:pPr>
          </w:p>
        </w:tc>
        <w:tc>
          <w:tcPr>
            <w:tcW w:w="982" w:type="dxa"/>
            <w:shd w:val="clear" w:color="auto" w:fill="FFFFFF"/>
            <w:vAlign w:val="center"/>
          </w:tcPr>
          <w:p>
            <w:pPr>
              <w:jc w:val="right"/>
              <w:rPr>
                <w:rFonts w:ascii="宋体" w:hAnsi="宋体" w:eastAsia="宋体" w:cs="宋体"/>
                <w:color w:val="000000"/>
                <w:sz w:val="24"/>
              </w:rPr>
            </w:pPr>
          </w:p>
        </w:tc>
        <w:tc>
          <w:tcPr>
            <w:tcW w:w="1965" w:type="dxa"/>
            <w:gridSpan w:val="2"/>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金额</w:t>
            </w:r>
            <w:r>
              <w:rPr>
                <w:rFonts w:hint="eastAsia" w:ascii="宋体" w:hAnsi="宋体" w:eastAsia="宋体" w:cs="宋体"/>
                <w:color w:val="000000"/>
                <w:kern w:val="0"/>
                <w:sz w:val="20"/>
                <w:szCs w:val="20"/>
                <w:lang w:bidi="ar"/>
              </w:rPr>
              <w:t>单位：万元</w:t>
            </w:r>
          </w:p>
        </w:tc>
      </w:tr>
      <w:tr>
        <w:tblPrEx>
          <w:tblCellMar>
            <w:top w:w="15" w:type="dxa"/>
            <w:left w:w="15" w:type="dxa"/>
            <w:bottom w:w="15" w:type="dxa"/>
            <w:right w:w="15" w:type="dxa"/>
          </w:tblCellMar>
        </w:tblPrEx>
        <w:trPr>
          <w:trHeight w:val="499" w:hRule="atLeast"/>
          <w:jc w:val="center"/>
        </w:trPr>
        <w:tc>
          <w:tcPr>
            <w:tcW w:w="282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本年收入合计</w:t>
            </w:r>
          </w:p>
        </w:tc>
        <w:tc>
          <w:tcPr>
            <w:tcW w:w="1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财政拨款收入</w:t>
            </w:r>
          </w:p>
        </w:tc>
        <w:tc>
          <w:tcPr>
            <w:tcW w:w="98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上级补助收入</w:t>
            </w:r>
          </w:p>
        </w:tc>
        <w:tc>
          <w:tcPr>
            <w:tcW w:w="98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事业收入</w:t>
            </w:r>
          </w:p>
        </w:tc>
        <w:tc>
          <w:tcPr>
            <w:tcW w:w="98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经营收入</w:t>
            </w:r>
          </w:p>
        </w:tc>
        <w:tc>
          <w:tcPr>
            <w:tcW w:w="98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附属单位上缴收入</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其他收入</w:t>
            </w:r>
          </w:p>
        </w:tc>
      </w:tr>
      <w:tr>
        <w:tblPrEx>
          <w:tblCellMar>
            <w:top w:w="15" w:type="dxa"/>
            <w:left w:w="15" w:type="dxa"/>
            <w:bottom w:w="15" w:type="dxa"/>
            <w:right w:w="15" w:type="dxa"/>
          </w:tblCellMar>
        </w:tblPrEx>
        <w:trPr>
          <w:trHeight w:val="499" w:hRule="atLeast"/>
          <w:jc w:val="center"/>
        </w:trPr>
        <w:tc>
          <w:tcPr>
            <w:tcW w:w="114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科目代码</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科目名称</w:t>
            </w: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r>
      <w:tr>
        <w:tblPrEx>
          <w:tblCellMar>
            <w:top w:w="15" w:type="dxa"/>
            <w:left w:w="15" w:type="dxa"/>
            <w:bottom w:w="15" w:type="dxa"/>
            <w:right w:w="15" w:type="dxa"/>
          </w:tblCellMar>
        </w:tblPrEx>
        <w:trPr>
          <w:trHeight w:val="499" w:hRule="atLeast"/>
          <w:jc w:val="center"/>
        </w:trPr>
        <w:tc>
          <w:tcPr>
            <w:tcW w:w="114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499" w:hRule="atLeast"/>
          <w:jc w:val="center"/>
        </w:trPr>
        <w:tc>
          <w:tcPr>
            <w:tcW w:w="282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栏次</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1</w:t>
            </w:r>
          </w:p>
        </w:tc>
        <w:tc>
          <w:tcPr>
            <w:tcW w:w="11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2</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3</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4</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5</w:t>
            </w:r>
          </w:p>
        </w:tc>
        <w:tc>
          <w:tcPr>
            <w:tcW w:w="9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6</w:t>
            </w:r>
          </w:p>
        </w:tc>
        <w:tc>
          <w:tcPr>
            <w:tcW w:w="9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7</w:t>
            </w:r>
          </w:p>
        </w:tc>
      </w:tr>
      <w:tr>
        <w:tblPrEx>
          <w:tblCellMar>
            <w:top w:w="15" w:type="dxa"/>
            <w:left w:w="15" w:type="dxa"/>
            <w:bottom w:w="15" w:type="dxa"/>
            <w:right w:w="15" w:type="dxa"/>
          </w:tblCellMar>
        </w:tblPrEx>
        <w:trPr>
          <w:trHeight w:val="499" w:hRule="atLeast"/>
          <w:jc w:val="center"/>
        </w:trPr>
        <w:tc>
          <w:tcPr>
            <w:tcW w:w="282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合计</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9,702.37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325.59</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9,143.47</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233.32</w:t>
            </w:r>
          </w:p>
        </w:tc>
      </w:tr>
      <w:tr>
        <w:tblPrEx>
          <w:tblCellMar>
            <w:top w:w="15" w:type="dxa"/>
            <w:left w:w="15" w:type="dxa"/>
            <w:bottom w:w="15" w:type="dxa"/>
            <w:right w:w="15" w:type="dxa"/>
          </w:tblCellMar>
        </w:tblPrEx>
        <w:trPr>
          <w:trHeight w:val="499" w:hRule="atLeast"/>
          <w:jc w:val="center"/>
        </w:trPr>
        <w:tc>
          <w:tcPr>
            <w:tcW w:w="114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210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卫生健康支出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9,702.37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325.59</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9,143.47</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233.32</w:t>
            </w:r>
          </w:p>
        </w:tc>
      </w:tr>
      <w:tr>
        <w:tblPrEx>
          <w:tblCellMar>
            <w:top w:w="15" w:type="dxa"/>
            <w:left w:w="15" w:type="dxa"/>
            <w:bottom w:w="15" w:type="dxa"/>
            <w:right w:w="15" w:type="dxa"/>
          </w:tblCellMar>
        </w:tblPrEx>
        <w:trPr>
          <w:trHeight w:val="677" w:hRule="atLeast"/>
          <w:jc w:val="center"/>
        </w:trPr>
        <w:tc>
          <w:tcPr>
            <w:tcW w:w="114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21002</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公立医院</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9,697.67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320.88</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9,143.47</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233.32</w:t>
            </w:r>
          </w:p>
        </w:tc>
      </w:tr>
      <w:tr>
        <w:tblPrEx>
          <w:tblCellMar>
            <w:top w:w="15" w:type="dxa"/>
            <w:left w:w="15" w:type="dxa"/>
            <w:bottom w:w="15" w:type="dxa"/>
            <w:right w:w="15" w:type="dxa"/>
          </w:tblCellMar>
        </w:tblPrEx>
        <w:trPr>
          <w:trHeight w:val="499" w:hRule="atLeast"/>
          <w:jc w:val="center"/>
        </w:trPr>
        <w:tc>
          <w:tcPr>
            <w:tcW w:w="114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2100201</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综合医院</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9,697.67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320.88</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9,143.47</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233.32</w:t>
            </w:r>
          </w:p>
        </w:tc>
      </w:tr>
      <w:tr>
        <w:tblPrEx>
          <w:tblCellMar>
            <w:top w:w="15" w:type="dxa"/>
            <w:left w:w="15" w:type="dxa"/>
            <w:bottom w:w="15" w:type="dxa"/>
            <w:right w:w="15" w:type="dxa"/>
          </w:tblCellMar>
        </w:tblPrEx>
        <w:trPr>
          <w:trHeight w:val="499" w:hRule="atLeast"/>
          <w:jc w:val="center"/>
        </w:trPr>
        <w:tc>
          <w:tcPr>
            <w:tcW w:w="114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21004</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公共卫生</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r>
      <w:tr>
        <w:tblPrEx>
          <w:tblCellMar>
            <w:top w:w="15" w:type="dxa"/>
            <w:left w:w="15" w:type="dxa"/>
            <w:bottom w:w="15" w:type="dxa"/>
            <w:right w:w="15" w:type="dxa"/>
          </w:tblCellMar>
        </w:tblPrEx>
        <w:trPr>
          <w:trHeight w:val="499" w:hRule="atLeast"/>
          <w:jc w:val="center"/>
        </w:trPr>
        <w:tc>
          <w:tcPr>
            <w:tcW w:w="114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2100410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rPr>
            </w:pPr>
            <w:r>
              <w:rPr>
                <w:rFonts w:hint="eastAsia"/>
                <w:lang w:val="en-US" w:eastAsia="zh-CN"/>
              </w:rPr>
              <w:t>突发公共卫生事件应急处理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r>
      <w:tr>
        <w:tblPrEx>
          <w:tblCellMar>
            <w:top w:w="15" w:type="dxa"/>
            <w:left w:w="15" w:type="dxa"/>
            <w:bottom w:w="15" w:type="dxa"/>
            <w:right w:w="15" w:type="dxa"/>
          </w:tblCellMar>
        </w:tblPrEx>
        <w:trPr>
          <w:trHeight w:val="657" w:hRule="atLeast"/>
          <w:jc w:val="center"/>
        </w:trPr>
        <w:tc>
          <w:tcPr>
            <w:tcW w:w="10040" w:type="dxa"/>
            <w:gridSpan w:val="10"/>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注：本表反映</w:t>
            </w:r>
            <w:r>
              <w:rPr>
                <w:rFonts w:hint="eastAsia" w:ascii="宋体" w:hAnsi="宋体" w:eastAsia="宋体" w:cs="宋体"/>
                <w:color w:val="000000"/>
                <w:kern w:val="0"/>
                <w:sz w:val="24"/>
                <w:szCs w:val="24"/>
                <w:lang w:eastAsia="zh-CN" w:bidi="ar"/>
              </w:rPr>
              <w:t>单位</w:t>
            </w:r>
            <w:r>
              <w:rPr>
                <w:rFonts w:hint="eastAsia" w:ascii="宋体" w:hAnsi="宋体" w:eastAsia="宋体" w:cs="宋体"/>
                <w:color w:val="000000"/>
                <w:kern w:val="0"/>
                <w:sz w:val="24"/>
                <w:szCs w:val="24"/>
                <w:lang w:bidi="ar"/>
              </w:rPr>
              <w:t>本年度取得的各项收入情况。</w:t>
            </w:r>
          </w:p>
        </w:tc>
      </w:tr>
    </w:tbl>
    <w:p>
      <w:pPr>
        <w:sectPr>
          <w:pgSz w:w="11906" w:h="16838"/>
          <w:pgMar w:top="1474" w:right="1474" w:bottom="1474" w:left="1474" w:header="851" w:footer="992" w:gutter="0"/>
          <w:cols w:space="0" w:num="1"/>
          <w:docGrid w:type="lines" w:linePitch="312" w:charSpace="0"/>
        </w:sectPr>
      </w:pPr>
    </w:p>
    <w:tbl>
      <w:tblPr>
        <w:tblStyle w:val="6"/>
        <w:tblW w:w="10286" w:type="dxa"/>
        <w:jc w:val="center"/>
        <w:tblLayout w:type="fixed"/>
        <w:tblCellMar>
          <w:top w:w="15" w:type="dxa"/>
          <w:left w:w="15" w:type="dxa"/>
          <w:bottom w:w="15" w:type="dxa"/>
          <w:right w:w="15" w:type="dxa"/>
        </w:tblCellMar>
      </w:tblPr>
      <w:tblGrid>
        <w:gridCol w:w="671"/>
        <w:gridCol w:w="550"/>
        <w:gridCol w:w="1348"/>
        <w:gridCol w:w="1504"/>
        <w:gridCol w:w="202"/>
        <w:gridCol w:w="1302"/>
        <w:gridCol w:w="437"/>
        <w:gridCol w:w="1069"/>
        <w:gridCol w:w="1069"/>
        <w:gridCol w:w="1069"/>
        <w:gridCol w:w="1065"/>
      </w:tblGrid>
      <w:tr>
        <w:tblPrEx>
          <w:tblCellMar>
            <w:top w:w="15" w:type="dxa"/>
            <w:left w:w="15" w:type="dxa"/>
            <w:bottom w:w="15" w:type="dxa"/>
            <w:right w:w="15" w:type="dxa"/>
          </w:tblCellMar>
        </w:tblPrEx>
        <w:trPr>
          <w:trHeight w:val="435" w:hRule="atLeast"/>
          <w:jc w:val="center"/>
        </w:trPr>
        <w:tc>
          <w:tcPr>
            <w:tcW w:w="10286" w:type="dxa"/>
            <w:gridSpan w:val="11"/>
            <w:shd w:val="clear" w:color="auto" w:fill="auto"/>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b/>
                <w:bCs/>
                <w:color w:val="000000"/>
                <w:kern w:val="0"/>
                <w:sz w:val="32"/>
                <w:szCs w:val="32"/>
                <w:lang w:bidi="ar"/>
              </w:rPr>
              <w:t>支出决算表</w:t>
            </w:r>
          </w:p>
        </w:tc>
      </w:tr>
      <w:tr>
        <w:tblPrEx>
          <w:tblCellMar>
            <w:top w:w="15" w:type="dxa"/>
            <w:left w:w="15" w:type="dxa"/>
            <w:bottom w:w="15" w:type="dxa"/>
            <w:right w:w="15" w:type="dxa"/>
          </w:tblCellMar>
        </w:tblPrEx>
        <w:trPr>
          <w:trHeight w:val="286" w:hRule="atLeast"/>
          <w:jc w:val="center"/>
        </w:trPr>
        <w:tc>
          <w:tcPr>
            <w:tcW w:w="671" w:type="dxa"/>
            <w:shd w:val="clear" w:color="auto" w:fill="FFFFFF"/>
            <w:vAlign w:val="center"/>
          </w:tcPr>
          <w:p>
            <w:pPr>
              <w:jc w:val="right"/>
              <w:rPr>
                <w:rFonts w:ascii="宋体" w:hAnsi="宋体" w:eastAsia="宋体" w:cs="宋体"/>
                <w:color w:val="000000"/>
                <w:sz w:val="24"/>
              </w:rPr>
            </w:pPr>
          </w:p>
        </w:tc>
        <w:tc>
          <w:tcPr>
            <w:tcW w:w="550" w:type="dxa"/>
            <w:shd w:val="clear" w:color="auto" w:fill="FFFFFF"/>
            <w:vAlign w:val="center"/>
          </w:tcPr>
          <w:p>
            <w:pPr>
              <w:jc w:val="right"/>
              <w:rPr>
                <w:rFonts w:ascii="宋体" w:hAnsi="宋体" w:eastAsia="宋体" w:cs="宋体"/>
                <w:color w:val="000000"/>
                <w:sz w:val="24"/>
              </w:rPr>
            </w:pPr>
          </w:p>
        </w:tc>
        <w:tc>
          <w:tcPr>
            <w:tcW w:w="1348" w:type="dxa"/>
            <w:shd w:val="clear" w:color="auto" w:fill="FFFFFF"/>
            <w:vAlign w:val="center"/>
          </w:tcPr>
          <w:p>
            <w:pPr>
              <w:jc w:val="right"/>
              <w:rPr>
                <w:rFonts w:ascii="宋体" w:hAnsi="宋体" w:eastAsia="宋体" w:cs="宋体"/>
                <w:color w:val="000000"/>
                <w:sz w:val="24"/>
              </w:rPr>
            </w:pPr>
          </w:p>
        </w:tc>
        <w:tc>
          <w:tcPr>
            <w:tcW w:w="1706" w:type="dxa"/>
            <w:gridSpan w:val="2"/>
            <w:shd w:val="clear" w:color="auto" w:fill="FFFFFF"/>
            <w:vAlign w:val="center"/>
          </w:tcPr>
          <w:p>
            <w:pPr>
              <w:jc w:val="right"/>
              <w:rPr>
                <w:rFonts w:ascii="宋体" w:hAnsi="宋体" w:eastAsia="宋体" w:cs="宋体"/>
                <w:color w:val="000000"/>
                <w:sz w:val="24"/>
              </w:rPr>
            </w:pPr>
          </w:p>
        </w:tc>
        <w:tc>
          <w:tcPr>
            <w:tcW w:w="1739" w:type="dxa"/>
            <w:gridSpan w:val="2"/>
            <w:shd w:val="clear" w:color="auto" w:fill="FFFFFF"/>
            <w:vAlign w:val="center"/>
          </w:tcPr>
          <w:p>
            <w:pPr>
              <w:jc w:val="right"/>
              <w:rPr>
                <w:rFonts w:ascii="宋体" w:hAnsi="宋体" w:eastAsia="宋体" w:cs="宋体"/>
                <w:color w:val="000000"/>
                <w:sz w:val="24"/>
              </w:rPr>
            </w:pPr>
          </w:p>
        </w:tc>
        <w:tc>
          <w:tcPr>
            <w:tcW w:w="1069" w:type="dxa"/>
            <w:shd w:val="clear" w:color="auto" w:fill="FFFFFF"/>
            <w:vAlign w:val="center"/>
          </w:tcPr>
          <w:p>
            <w:pPr>
              <w:jc w:val="right"/>
              <w:rPr>
                <w:rFonts w:ascii="宋体" w:hAnsi="宋体" w:eastAsia="宋体" w:cs="宋体"/>
                <w:color w:val="000000"/>
                <w:sz w:val="24"/>
              </w:rPr>
            </w:pPr>
          </w:p>
        </w:tc>
        <w:tc>
          <w:tcPr>
            <w:tcW w:w="1069" w:type="dxa"/>
            <w:shd w:val="clear" w:color="auto" w:fill="FFFFFF"/>
            <w:vAlign w:val="center"/>
          </w:tcPr>
          <w:p>
            <w:pPr>
              <w:jc w:val="right"/>
              <w:rPr>
                <w:rFonts w:ascii="宋体" w:hAnsi="宋体" w:eastAsia="宋体" w:cs="宋体"/>
                <w:color w:val="000000"/>
                <w:sz w:val="24"/>
              </w:rPr>
            </w:pPr>
          </w:p>
        </w:tc>
        <w:tc>
          <w:tcPr>
            <w:tcW w:w="1069" w:type="dxa"/>
            <w:shd w:val="clear" w:color="auto" w:fill="FFFFFF"/>
            <w:vAlign w:val="center"/>
          </w:tcPr>
          <w:p>
            <w:pPr>
              <w:jc w:val="right"/>
              <w:rPr>
                <w:rFonts w:ascii="宋体" w:hAnsi="宋体" w:eastAsia="宋体" w:cs="宋体"/>
                <w:color w:val="000000"/>
                <w:sz w:val="24"/>
              </w:rPr>
            </w:pPr>
          </w:p>
        </w:tc>
        <w:tc>
          <w:tcPr>
            <w:tcW w:w="1065" w:type="dxa"/>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公开03表</w:t>
            </w:r>
          </w:p>
        </w:tc>
      </w:tr>
      <w:tr>
        <w:tblPrEx>
          <w:tblCellMar>
            <w:top w:w="15" w:type="dxa"/>
            <w:left w:w="15" w:type="dxa"/>
            <w:bottom w:w="15" w:type="dxa"/>
            <w:right w:w="15" w:type="dxa"/>
          </w:tblCellMar>
        </w:tblPrEx>
        <w:trPr>
          <w:trHeight w:val="286" w:hRule="atLeast"/>
          <w:jc w:val="center"/>
        </w:trPr>
        <w:tc>
          <w:tcPr>
            <w:tcW w:w="671" w:type="dxa"/>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单位</w:t>
            </w:r>
            <w:r>
              <w:rPr>
                <w:rFonts w:hint="eastAsia" w:ascii="宋体" w:hAnsi="宋体" w:eastAsia="宋体" w:cs="宋体"/>
                <w:color w:val="000000"/>
                <w:kern w:val="0"/>
                <w:sz w:val="20"/>
                <w:szCs w:val="20"/>
                <w:lang w:bidi="ar"/>
              </w:rPr>
              <w:t>：</w:t>
            </w:r>
          </w:p>
        </w:tc>
        <w:tc>
          <w:tcPr>
            <w:tcW w:w="3604" w:type="dxa"/>
            <w:gridSpan w:val="4"/>
            <w:shd w:val="clear" w:color="auto" w:fill="FFFFFF"/>
            <w:vAlign w:val="center"/>
          </w:tcPr>
          <w:p>
            <w:pPr>
              <w:wordWrap/>
              <w:jc w:val="left"/>
              <w:rPr>
                <w:rFonts w:ascii="宋体" w:hAnsi="宋体" w:eastAsia="宋体" w:cs="宋体"/>
                <w:color w:val="000000"/>
                <w:sz w:val="24"/>
              </w:rPr>
            </w:pPr>
            <w:r>
              <w:rPr>
                <w:rFonts w:hint="eastAsia" w:ascii="宋体" w:hAnsi="宋体" w:eastAsia="宋体" w:cs="宋体"/>
                <w:color w:val="000000"/>
                <w:kern w:val="0"/>
                <w:sz w:val="20"/>
                <w:szCs w:val="20"/>
                <w:lang w:val="en-US" w:eastAsia="zh-CN" w:bidi="ar"/>
              </w:rPr>
              <w:t xml:space="preserve">石家庄循环化工园区医院 </w:t>
            </w:r>
            <w:r>
              <w:rPr>
                <w:rFonts w:hint="eastAsia" w:ascii="宋体" w:hAnsi="宋体" w:eastAsia="宋体" w:cs="宋体"/>
                <w:color w:val="000000"/>
                <w:sz w:val="24"/>
                <w:szCs w:val="24"/>
              </w:rPr>
              <w:t xml:space="preserve"> </w:t>
            </w:r>
          </w:p>
        </w:tc>
        <w:tc>
          <w:tcPr>
            <w:tcW w:w="1739" w:type="dxa"/>
            <w:gridSpan w:val="2"/>
            <w:shd w:val="clear" w:color="auto" w:fill="FFFFFF"/>
            <w:vAlign w:val="center"/>
          </w:tcPr>
          <w:p>
            <w:pPr>
              <w:rPr>
                <w:rFonts w:ascii="宋体" w:hAnsi="宋体" w:eastAsia="宋体" w:cs="宋体"/>
                <w:color w:val="000000"/>
                <w:sz w:val="24"/>
              </w:rPr>
            </w:pPr>
            <w:r>
              <w:rPr>
                <w:rFonts w:hint="eastAsia" w:ascii="宋体" w:hAnsi="宋体" w:eastAsia="宋体" w:cs="宋体"/>
                <w:color w:val="000000"/>
                <w:sz w:val="20"/>
                <w:szCs w:val="20"/>
              </w:rPr>
              <w:t>2023年度</w:t>
            </w:r>
          </w:p>
        </w:tc>
        <w:tc>
          <w:tcPr>
            <w:tcW w:w="1069" w:type="dxa"/>
            <w:shd w:val="clear" w:color="auto" w:fill="FFFFFF"/>
            <w:vAlign w:val="center"/>
          </w:tcPr>
          <w:p>
            <w:pPr>
              <w:jc w:val="center"/>
              <w:rPr>
                <w:rFonts w:ascii="宋体" w:hAnsi="宋体" w:eastAsia="宋体" w:cs="宋体"/>
                <w:color w:val="000000"/>
                <w:sz w:val="20"/>
                <w:szCs w:val="20"/>
              </w:rPr>
            </w:pPr>
          </w:p>
        </w:tc>
        <w:tc>
          <w:tcPr>
            <w:tcW w:w="1069" w:type="dxa"/>
            <w:shd w:val="clear" w:color="auto" w:fill="FFFFFF"/>
            <w:vAlign w:val="center"/>
          </w:tcPr>
          <w:p>
            <w:pPr>
              <w:jc w:val="right"/>
              <w:rPr>
                <w:rFonts w:ascii="宋体" w:hAnsi="宋体" w:eastAsia="宋体" w:cs="宋体"/>
                <w:color w:val="000000"/>
                <w:sz w:val="24"/>
              </w:rPr>
            </w:pPr>
          </w:p>
        </w:tc>
        <w:tc>
          <w:tcPr>
            <w:tcW w:w="2134" w:type="dxa"/>
            <w:gridSpan w:val="2"/>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金额</w:t>
            </w:r>
            <w:r>
              <w:rPr>
                <w:rFonts w:hint="eastAsia" w:ascii="宋体" w:hAnsi="宋体" w:eastAsia="宋体" w:cs="宋体"/>
                <w:color w:val="000000"/>
                <w:kern w:val="0"/>
                <w:sz w:val="20"/>
                <w:szCs w:val="20"/>
                <w:lang w:bidi="ar"/>
              </w:rPr>
              <w:t>单位：万元</w:t>
            </w:r>
          </w:p>
        </w:tc>
      </w:tr>
      <w:tr>
        <w:tblPrEx>
          <w:tblCellMar>
            <w:top w:w="15" w:type="dxa"/>
            <w:left w:w="15" w:type="dxa"/>
            <w:bottom w:w="15" w:type="dxa"/>
            <w:right w:w="15" w:type="dxa"/>
          </w:tblCellMar>
        </w:tblPrEx>
        <w:trPr>
          <w:trHeight w:val="450" w:hRule="atLeast"/>
          <w:jc w:val="center"/>
        </w:trPr>
        <w:tc>
          <w:tcPr>
            <w:tcW w:w="256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15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本年支出合计</w:t>
            </w:r>
          </w:p>
        </w:tc>
        <w:tc>
          <w:tcPr>
            <w:tcW w:w="1504"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基本支出</w:t>
            </w:r>
          </w:p>
        </w:tc>
        <w:tc>
          <w:tcPr>
            <w:tcW w:w="150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项目支出</w:t>
            </w: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上缴上级支出</w:t>
            </w: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经营支出</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对附属单位补助支出</w:t>
            </w:r>
          </w:p>
        </w:tc>
      </w:tr>
      <w:tr>
        <w:tblPrEx>
          <w:tblCellMar>
            <w:top w:w="15" w:type="dxa"/>
            <w:left w:w="15" w:type="dxa"/>
            <w:bottom w:w="15" w:type="dxa"/>
            <w:right w:w="15" w:type="dxa"/>
          </w:tblCellMar>
        </w:tblPrEx>
        <w:trPr>
          <w:trHeight w:val="450" w:hRule="atLeast"/>
          <w:jc w:val="center"/>
        </w:trPr>
        <w:tc>
          <w:tcPr>
            <w:tcW w:w="1221"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科目代码</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科目名称</w:t>
            </w:r>
          </w:p>
        </w:tc>
        <w:tc>
          <w:tcPr>
            <w:tcW w:w="15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150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150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4"/>
              </w:rPr>
            </w:pPr>
          </w:p>
        </w:tc>
      </w:tr>
      <w:tr>
        <w:tblPrEx>
          <w:tblCellMar>
            <w:top w:w="15" w:type="dxa"/>
            <w:left w:w="15" w:type="dxa"/>
            <w:bottom w:w="15" w:type="dxa"/>
            <w:right w:w="15" w:type="dxa"/>
          </w:tblCellMar>
        </w:tblPrEx>
        <w:trPr>
          <w:trHeight w:val="450" w:hRule="atLeast"/>
          <w:jc w:val="center"/>
        </w:trPr>
        <w:tc>
          <w:tcPr>
            <w:tcW w:w="1221"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5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50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50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256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栏次</w:t>
            </w:r>
          </w:p>
        </w:tc>
        <w:tc>
          <w:tcPr>
            <w:tcW w:w="1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1</w:t>
            </w: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2</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4</w:t>
            </w: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5</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6</w:t>
            </w:r>
          </w:p>
        </w:tc>
      </w:tr>
      <w:tr>
        <w:tblPrEx>
          <w:tblCellMar>
            <w:top w:w="15" w:type="dxa"/>
            <w:left w:w="15" w:type="dxa"/>
            <w:bottom w:w="15" w:type="dxa"/>
            <w:right w:w="15" w:type="dxa"/>
          </w:tblCellMar>
        </w:tblPrEx>
        <w:trPr>
          <w:trHeight w:val="450" w:hRule="atLeast"/>
          <w:jc w:val="center"/>
        </w:trPr>
        <w:tc>
          <w:tcPr>
            <w:tcW w:w="256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合计</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9,616.26</w:t>
            </w: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3,957.02</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5,659.24</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22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210</w:t>
            </w:r>
          </w:p>
        </w:tc>
        <w:tc>
          <w:tcPr>
            <w:tcW w:w="13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卫生健康支出</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9,616.26</w:t>
            </w: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3,957.02</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5,659.24</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22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21002</w:t>
            </w:r>
          </w:p>
        </w:tc>
        <w:tc>
          <w:tcPr>
            <w:tcW w:w="13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公立医院</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9,611.56</w:t>
            </w: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3,957.02</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5,654.54</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22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2100201</w:t>
            </w:r>
          </w:p>
        </w:tc>
        <w:tc>
          <w:tcPr>
            <w:tcW w:w="13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综合医院</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9,611.56</w:t>
            </w: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3,957.02</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5,654.54</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22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21004</w:t>
            </w:r>
          </w:p>
        </w:tc>
        <w:tc>
          <w:tcPr>
            <w:tcW w:w="13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公共卫生</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22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2100410</w:t>
            </w:r>
          </w:p>
        </w:tc>
        <w:tc>
          <w:tcPr>
            <w:tcW w:w="13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lang w:val="en-US" w:eastAsia="zh-CN"/>
              </w:rPr>
            </w:pPr>
            <w:r>
              <w:rPr>
                <w:rFonts w:hint="eastAsia"/>
                <w:lang w:val="en-US" w:eastAsia="zh-CN"/>
              </w:rPr>
              <w:t>突发公共卫生事件应急处理</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4"/>
              </w:rPr>
            </w:pPr>
          </w:p>
        </w:tc>
      </w:tr>
      <w:tr>
        <w:tblPrEx>
          <w:tblCellMar>
            <w:top w:w="15" w:type="dxa"/>
            <w:left w:w="15" w:type="dxa"/>
            <w:bottom w:w="15" w:type="dxa"/>
            <w:right w:w="15" w:type="dxa"/>
          </w:tblCellMar>
        </w:tblPrEx>
        <w:trPr>
          <w:trHeight w:val="630" w:hRule="atLeast"/>
          <w:jc w:val="center"/>
        </w:trPr>
        <w:tc>
          <w:tcPr>
            <w:tcW w:w="10286" w:type="dxa"/>
            <w:gridSpan w:val="11"/>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注：本表反映</w:t>
            </w:r>
            <w:r>
              <w:rPr>
                <w:rFonts w:hint="eastAsia" w:ascii="宋体" w:hAnsi="宋体" w:eastAsia="宋体" w:cs="宋体"/>
                <w:color w:val="000000"/>
                <w:kern w:val="0"/>
                <w:sz w:val="24"/>
                <w:szCs w:val="24"/>
                <w:lang w:eastAsia="zh-CN" w:bidi="ar"/>
              </w:rPr>
              <w:t>单位</w:t>
            </w:r>
            <w:r>
              <w:rPr>
                <w:rFonts w:hint="eastAsia" w:ascii="宋体" w:hAnsi="宋体" w:eastAsia="宋体" w:cs="宋体"/>
                <w:color w:val="000000"/>
                <w:kern w:val="0"/>
                <w:sz w:val="24"/>
                <w:szCs w:val="24"/>
                <w:lang w:bidi="ar"/>
              </w:rPr>
              <w:t>本年度各项支出情况。</w:t>
            </w:r>
          </w:p>
        </w:tc>
      </w:tr>
    </w:tbl>
    <w:p>
      <w:pPr>
        <w:sectPr>
          <w:pgSz w:w="11906" w:h="16838"/>
          <w:pgMar w:top="1474" w:right="1474" w:bottom="1474" w:left="1474" w:header="851" w:footer="992" w:gutter="0"/>
          <w:cols w:space="0" w:num="1"/>
          <w:docGrid w:type="lines" w:linePitch="312" w:charSpace="0"/>
        </w:sectPr>
      </w:pPr>
    </w:p>
    <w:tbl>
      <w:tblPr>
        <w:tblStyle w:val="6"/>
        <w:tblW w:w="10420" w:type="dxa"/>
        <w:jc w:val="center"/>
        <w:tblLayout w:type="fixed"/>
        <w:tblCellMar>
          <w:top w:w="15" w:type="dxa"/>
          <w:left w:w="15" w:type="dxa"/>
          <w:bottom w:w="15" w:type="dxa"/>
          <w:right w:w="15" w:type="dxa"/>
        </w:tblCellMar>
      </w:tblPr>
      <w:tblGrid>
        <w:gridCol w:w="2390"/>
        <w:gridCol w:w="518"/>
        <w:gridCol w:w="915"/>
        <w:gridCol w:w="2460"/>
        <w:gridCol w:w="494"/>
        <w:gridCol w:w="670"/>
        <w:gridCol w:w="89"/>
        <w:gridCol w:w="960"/>
        <w:gridCol w:w="960"/>
        <w:gridCol w:w="964"/>
      </w:tblGrid>
      <w:tr>
        <w:tblPrEx>
          <w:tblCellMar>
            <w:top w:w="15" w:type="dxa"/>
            <w:left w:w="15" w:type="dxa"/>
            <w:bottom w:w="15" w:type="dxa"/>
            <w:right w:w="15" w:type="dxa"/>
          </w:tblCellMar>
        </w:tblPrEx>
        <w:trPr>
          <w:trHeight w:val="1069" w:hRule="atLeast"/>
          <w:jc w:val="center"/>
        </w:trPr>
        <w:tc>
          <w:tcPr>
            <w:tcW w:w="10420" w:type="dxa"/>
            <w:gridSpan w:val="10"/>
            <w:tcBorders>
              <w:top w:val="nil"/>
              <w:left w:val="nil"/>
              <w:bottom w:val="nil"/>
              <w:right w:val="nil"/>
            </w:tcBorders>
            <w:shd w:val="clear" w:color="auto" w:fill="FFFFFF"/>
            <w:vAlign w:val="bottom"/>
          </w:tcPr>
          <w:p>
            <w:pPr>
              <w:widowControl/>
              <w:ind w:firstLine="3534" w:firstLineChars="1100"/>
              <w:textAlignment w:val="center"/>
              <w:rPr>
                <w:rFonts w:ascii="宋体" w:hAnsi="宋体" w:eastAsia="宋体" w:cs="宋体"/>
                <w:color w:val="000000"/>
                <w:kern w:val="0"/>
                <w:sz w:val="24"/>
                <w:szCs w:val="24"/>
                <w:lang w:bidi="ar"/>
              </w:rPr>
            </w:pPr>
            <w:r>
              <w:rPr>
                <w:rFonts w:hint="eastAsia" w:ascii="华文中宋" w:hAnsi="华文中宋" w:eastAsia="华文中宋" w:cs="华文中宋"/>
                <w:b/>
                <w:bCs/>
                <w:color w:val="000000"/>
                <w:kern w:val="0"/>
                <w:sz w:val="32"/>
                <w:szCs w:val="32"/>
                <w:lang w:bidi="ar"/>
              </w:rPr>
              <w:t>财政拨款收入支出决算总表</w:t>
            </w:r>
          </w:p>
        </w:tc>
      </w:tr>
      <w:tr>
        <w:tblPrEx>
          <w:tblCellMar>
            <w:top w:w="15" w:type="dxa"/>
            <w:left w:w="15" w:type="dxa"/>
            <w:bottom w:w="15" w:type="dxa"/>
            <w:right w:w="15" w:type="dxa"/>
          </w:tblCellMar>
        </w:tblPrEx>
        <w:trPr>
          <w:trHeight w:val="347" w:hRule="atLeast"/>
          <w:jc w:val="center"/>
        </w:trPr>
        <w:tc>
          <w:tcPr>
            <w:tcW w:w="3823" w:type="dxa"/>
            <w:gridSpan w:val="3"/>
            <w:tcBorders>
              <w:top w:val="nil"/>
              <w:left w:val="nil"/>
              <w:bottom w:val="nil"/>
              <w:right w:val="nil"/>
            </w:tcBorders>
            <w:shd w:val="clear" w:color="auto" w:fill="FFFFFF"/>
            <w:vAlign w:val="center"/>
          </w:tcPr>
          <w:p>
            <w:pPr>
              <w:widowControl/>
              <w:jc w:val="right"/>
              <w:textAlignment w:val="center"/>
              <w:rPr>
                <w:rFonts w:ascii="宋体" w:hAnsi="宋体" w:eastAsia="宋体" w:cs="宋体"/>
                <w:color w:val="000000"/>
                <w:kern w:val="0"/>
                <w:sz w:val="24"/>
                <w:szCs w:val="24"/>
                <w:lang w:bidi="ar"/>
              </w:rPr>
            </w:pPr>
          </w:p>
        </w:tc>
        <w:tc>
          <w:tcPr>
            <w:tcW w:w="6597" w:type="dxa"/>
            <w:gridSpan w:val="7"/>
            <w:tcBorders>
              <w:top w:val="nil"/>
              <w:left w:val="nil"/>
              <w:bottom w:val="nil"/>
              <w:right w:val="nil"/>
            </w:tcBorders>
            <w:shd w:val="clear" w:color="auto" w:fill="FFFFFF"/>
            <w:vAlign w:val="center"/>
          </w:tcPr>
          <w:p>
            <w:pPr>
              <w:widowControl/>
              <w:jc w:val="righ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0"/>
                <w:szCs w:val="20"/>
                <w:lang w:bidi="ar"/>
              </w:rPr>
              <w:t>公开04表</w:t>
            </w:r>
          </w:p>
        </w:tc>
      </w:tr>
      <w:tr>
        <w:tblPrEx>
          <w:tblCellMar>
            <w:top w:w="15" w:type="dxa"/>
            <w:left w:w="15" w:type="dxa"/>
            <w:bottom w:w="15" w:type="dxa"/>
            <w:right w:w="15" w:type="dxa"/>
          </w:tblCellMar>
        </w:tblPrEx>
        <w:trPr>
          <w:trHeight w:val="388" w:hRule="atLeast"/>
          <w:jc w:val="center"/>
        </w:trPr>
        <w:tc>
          <w:tcPr>
            <w:tcW w:w="3823" w:type="dxa"/>
            <w:gridSpan w:val="3"/>
            <w:tcBorders>
              <w:top w:val="nil"/>
              <w:left w:val="nil"/>
              <w:bottom w:val="nil"/>
              <w:right w:val="nil"/>
            </w:tcBorders>
            <w:shd w:val="clear" w:color="auto" w:fill="FFFFFF"/>
            <w:vAlign w:val="center"/>
          </w:tcPr>
          <w:p>
            <w:pPr>
              <w:widowControl/>
              <w:jc w:val="left"/>
              <w:textAlignment w:val="center"/>
            </w:pPr>
            <w:r>
              <w:rPr>
                <w:rFonts w:hint="eastAsia" w:ascii="宋体" w:hAnsi="宋体" w:eastAsia="宋体" w:cs="宋体"/>
                <w:color w:val="000000"/>
                <w:kern w:val="0"/>
                <w:sz w:val="20"/>
                <w:szCs w:val="20"/>
                <w:lang w:eastAsia="zh-CN" w:bidi="ar"/>
              </w:rPr>
              <w:t>单位</w:t>
            </w: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eastAsia="zh-CN" w:bidi="ar"/>
              </w:rPr>
              <w:t>石家庄循环化工园区医院</w:t>
            </w:r>
            <w:r>
              <w:rPr>
                <w:rFonts w:hint="eastAsia" w:ascii="宋体" w:hAnsi="宋体" w:eastAsia="宋体" w:cs="宋体"/>
                <w:color w:val="000000"/>
                <w:kern w:val="0"/>
                <w:sz w:val="20"/>
                <w:szCs w:val="20"/>
                <w:lang w:bidi="ar"/>
              </w:rPr>
              <w:t xml:space="preserve">                    </w:t>
            </w:r>
          </w:p>
        </w:tc>
        <w:tc>
          <w:tcPr>
            <w:tcW w:w="3624" w:type="dxa"/>
            <w:gridSpan w:val="3"/>
            <w:tcBorders>
              <w:top w:val="nil"/>
              <w:left w:val="nil"/>
              <w:bottom w:val="nil"/>
              <w:right w:val="nil"/>
            </w:tcBorders>
            <w:shd w:val="clear" w:color="auto" w:fill="FFFFFF"/>
            <w:vAlign w:val="center"/>
          </w:tcPr>
          <w:p>
            <w:pPr>
              <w:widowControl/>
              <w:jc w:val="center"/>
              <w:textAlignment w:val="center"/>
            </w:pPr>
            <w:r>
              <w:rPr>
                <w:rFonts w:hint="eastAsia" w:ascii="宋体" w:hAnsi="宋体" w:eastAsia="宋体" w:cs="宋体"/>
                <w:color w:val="000000"/>
                <w:kern w:val="0"/>
                <w:sz w:val="20"/>
                <w:szCs w:val="20"/>
                <w:lang w:bidi="ar"/>
              </w:rPr>
              <w:t>2023年度</w:t>
            </w:r>
          </w:p>
        </w:tc>
        <w:tc>
          <w:tcPr>
            <w:tcW w:w="2973" w:type="dxa"/>
            <w:gridSpan w:val="4"/>
            <w:tcBorders>
              <w:top w:val="nil"/>
              <w:left w:val="nil"/>
              <w:bottom w:val="nil"/>
              <w:right w:val="nil"/>
            </w:tcBorders>
            <w:shd w:val="clear" w:color="auto" w:fill="FFFFFF"/>
            <w:vAlign w:val="center"/>
          </w:tcPr>
          <w:p>
            <w:pPr>
              <w:widowControl/>
              <w:jc w:val="right"/>
              <w:textAlignment w:val="center"/>
            </w:pPr>
            <w:r>
              <w:rPr>
                <w:rFonts w:hint="eastAsia" w:ascii="宋体" w:hAnsi="宋体" w:eastAsia="宋体" w:cs="宋体"/>
                <w:color w:val="000000"/>
                <w:kern w:val="0"/>
                <w:sz w:val="20"/>
                <w:szCs w:val="20"/>
                <w:lang w:eastAsia="zh-CN" w:bidi="ar"/>
              </w:rPr>
              <w:t>金额</w:t>
            </w:r>
            <w:r>
              <w:rPr>
                <w:rFonts w:hint="eastAsia" w:ascii="宋体" w:hAnsi="宋体" w:eastAsia="宋体" w:cs="宋体"/>
                <w:color w:val="000000"/>
                <w:kern w:val="0"/>
                <w:sz w:val="20"/>
                <w:szCs w:val="20"/>
                <w:lang w:bidi="ar"/>
              </w:rPr>
              <w:t>单位：万元</w:t>
            </w:r>
          </w:p>
        </w:tc>
      </w:tr>
      <w:tr>
        <w:tblPrEx>
          <w:tblCellMar>
            <w:top w:w="15" w:type="dxa"/>
            <w:left w:w="15" w:type="dxa"/>
            <w:bottom w:w="15" w:type="dxa"/>
            <w:right w:w="15" w:type="dxa"/>
          </w:tblCellMar>
        </w:tblPrEx>
        <w:trPr>
          <w:trHeight w:val="535" w:hRule="atLeast"/>
          <w:jc w:val="center"/>
        </w:trPr>
        <w:tc>
          <w:tcPr>
            <w:tcW w:w="382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收入</w:t>
            </w:r>
          </w:p>
        </w:tc>
        <w:tc>
          <w:tcPr>
            <w:tcW w:w="6597"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支出</w:t>
            </w:r>
          </w:p>
        </w:tc>
      </w:tr>
      <w:tr>
        <w:tblPrEx>
          <w:tblCellMar>
            <w:top w:w="15" w:type="dxa"/>
            <w:left w:w="15" w:type="dxa"/>
            <w:bottom w:w="15" w:type="dxa"/>
            <w:right w:w="15" w:type="dxa"/>
          </w:tblCellMar>
        </w:tblPrEx>
        <w:trPr>
          <w:trHeight w:val="997" w:hRule="atLeas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行次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金额</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行次</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合计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一般公共预算财政拨款</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政府性基金预算财政拨款</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国有资本经营预算财政拨款</w:t>
            </w:r>
          </w:p>
        </w:tc>
      </w:tr>
      <w:tr>
        <w:tblPrEx>
          <w:tblCellMar>
            <w:top w:w="15" w:type="dxa"/>
            <w:left w:w="15" w:type="dxa"/>
            <w:bottom w:w="15" w:type="dxa"/>
            <w:right w:w="15" w:type="dxa"/>
          </w:tblCellMar>
        </w:tblPrEx>
        <w:trPr>
          <w:trHeight w:val="535" w:hRule="atLeas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    次</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1</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    次</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4</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5</w:t>
            </w: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1"/>
                <w:szCs w:val="11"/>
              </w:rPr>
            </w:pPr>
            <w:r>
              <w:rPr>
                <w:rFonts w:hint="eastAsia"/>
                <w:sz w:val="18"/>
                <w:szCs w:val="21"/>
              </w:rPr>
              <w:t>一、一般公共预算财政拨款</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325.59</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3"/>
                <w:szCs w:val="13"/>
              </w:rPr>
            </w:pPr>
            <w:r>
              <w:rPr>
                <w:rFonts w:hint="eastAsia"/>
                <w:sz w:val="20"/>
              </w:rPr>
              <w:t>一、一般公共服务支出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33</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1"/>
                <w:szCs w:val="11"/>
              </w:rPr>
            </w:pPr>
            <w:r>
              <w:rPr>
                <w:rFonts w:hint="eastAsia"/>
                <w:sz w:val="18"/>
                <w:szCs w:val="21"/>
              </w:rPr>
              <w:t>二、政府性基金预算财政拨款</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3"/>
                <w:szCs w:val="13"/>
              </w:rPr>
            </w:pPr>
            <w:r>
              <w:rPr>
                <w:rFonts w:hint="eastAsia"/>
                <w:sz w:val="20"/>
              </w:rPr>
              <w:t>二、外交支出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34</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1"/>
                <w:szCs w:val="11"/>
              </w:rPr>
            </w:pPr>
            <w:r>
              <w:rPr>
                <w:rFonts w:hint="eastAsia"/>
                <w:sz w:val="16"/>
                <w:szCs w:val="20"/>
              </w:rPr>
              <w:t>三、国有资本经营预算财政拨款</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3"/>
                <w:szCs w:val="13"/>
              </w:rPr>
            </w:pPr>
            <w:r>
              <w:rPr>
                <w:rFonts w:hint="eastAsia"/>
                <w:sz w:val="20"/>
              </w:rPr>
              <w:t>三、国防支出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35</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4</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3"/>
                <w:szCs w:val="13"/>
              </w:rPr>
            </w:pPr>
            <w:r>
              <w:rPr>
                <w:rFonts w:hint="eastAsia"/>
                <w:sz w:val="20"/>
              </w:rPr>
              <w:t>四、公共安全支出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36</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3"/>
                <w:szCs w:val="13"/>
              </w:rPr>
            </w:pPr>
            <w:r>
              <w:rPr>
                <w:rFonts w:hint="eastAsia"/>
                <w:sz w:val="20"/>
              </w:rPr>
              <w:t>五、教育支出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37</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3"/>
                <w:szCs w:val="13"/>
              </w:rPr>
            </w:pPr>
            <w:r>
              <w:rPr>
                <w:rFonts w:hint="eastAsia"/>
                <w:sz w:val="20"/>
              </w:rPr>
              <w:t>六、科学技术支出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38</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5"/>
                <w:szCs w:val="15"/>
              </w:rPr>
            </w:pPr>
            <w:r>
              <w:rPr>
                <w:rFonts w:hint="eastAsia"/>
                <w:sz w:val="20"/>
              </w:rPr>
              <w:t>七、文化旅游体育与传媒支出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39</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3"/>
                <w:szCs w:val="13"/>
              </w:rPr>
            </w:pPr>
            <w:r>
              <w:rPr>
                <w:rFonts w:hint="eastAsia"/>
                <w:sz w:val="20"/>
              </w:rPr>
              <w:t>八、社会保障和就业支出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40</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9</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13"/>
                <w:szCs w:val="13"/>
              </w:rPr>
            </w:pPr>
            <w:r>
              <w:rPr>
                <w:rFonts w:hint="eastAsia"/>
                <w:sz w:val="20"/>
              </w:rPr>
              <w:t>九、卫生健康支出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41</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3"/>
                <w:szCs w:val="13"/>
              </w:rPr>
            </w:pPr>
            <w:r>
              <w:rPr>
                <w:rFonts w:hint="eastAsia"/>
                <w:sz w:val="20"/>
              </w:rPr>
              <w:t>十、节能环保支出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42</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11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3"/>
                <w:szCs w:val="13"/>
              </w:rPr>
            </w:pPr>
            <w:r>
              <w:rPr>
                <w:rFonts w:hint="eastAsia"/>
                <w:sz w:val="20"/>
              </w:rPr>
              <w:t>十一、城乡社区支出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43</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12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3"/>
                <w:szCs w:val="13"/>
              </w:rPr>
            </w:pPr>
            <w:r>
              <w:rPr>
                <w:rFonts w:hint="eastAsia"/>
                <w:sz w:val="20"/>
              </w:rPr>
              <w:t>十二、农林水支出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44</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rPr>
              <w:t>13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3"/>
                <w:szCs w:val="13"/>
              </w:rPr>
            </w:pPr>
            <w:r>
              <w:rPr>
                <w:rFonts w:hint="eastAsia"/>
                <w:sz w:val="20"/>
              </w:rPr>
              <w:t>十三、交通运输支出</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sz w:val="20"/>
              </w:rPr>
              <w:t>45</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sz w:val="15"/>
                <w:szCs w:val="15"/>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rPr>
              <w:t>14</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sz w:val="13"/>
                <w:szCs w:val="13"/>
              </w:rPr>
            </w:pPr>
            <w:r>
              <w:rPr>
                <w:rFonts w:hint="eastAsia"/>
                <w:sz w:val="18"/>
                <w:szCs w:val="21"/>
              </w:rPr>
              <w:t>十四、资源勘探工业信息等支出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Cs w:val="21"/>
              </w:rPr>
            </w:pPr>
            <w:r>
              <w:rPr>
                <w:rFonts w:hint="eastAsia"/>
                <w:sz w:val="20"/>
              </w:rPr>
              <w:t>46</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20"/>
              </w:rPr>
              <w:t>十五、商业服务业等支出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47</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20"/>
              </w:rPr>
              <w:t>十六、金融支出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48</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20"/>
              </w:rPr>
              <w:t>十七、援助其他地区支出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49</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18"/>
                <w:szCs w:val="21"/>
              </w:rPr>
              <w:t>十八、自然资源海洋气象等支出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50</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19</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20"/>
              </w:rPr>
              <w:t>十九、住房保障支出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51</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20"/>
              </w:rPr>
              <w:t>二十、粮油物资储备支出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52</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382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收入</w:t>
            </w:r>
          </w:p>
        </w:tc>
        <w:tc>
          <w:tcPr>
            <w:tcW w:w="6597"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b/>
                <w:bCs/>
                <w:color w:val="000000"/>
                <w:sz w:val="22"/>
              </w:rPr>
            </w:pPr>
            <w:r>
              <w:rPr>
                <w:rFonts w:hint="eastAsia" w:ascii="宋体" w:hAnsi="宋体" w:eastAsia="宋体" w:cs="宋体"/>
                <w:b/>
                <w:bCs/>
                <w:color w:val="000000"/>
                <w:kern w:val="0"/>
                <w:sz w:val="24"/>
                <w:szCs w:val="24"/>
                <w:lang w:bidi="ar"/>
              </w:rPr>
              <w:t>支出</w:t>
            </w:r>
          </w:p>
        </w:tc>
      </w:tr>
      <w:tr>
        <w:tblPrEx>
          <w:tblCellMar>
            <w:top w:w="15" w:type="dxa"/>
            <w:left w:w="15" w:type="dxa"/>
            <w:bottom w:w="15" w:type="dxa"/>
            <w:right w:w="15" w:type="dxa"/>
          </w:tblCellMar>
        </w:tblPrEx>
        <w:trPr>
          <w:trHeight w:val="140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行次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金额</w:t>
            </w: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    目</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行次</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合计</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一般公共预算财政拨款</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政府性基金预算财政拨款</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国有资本经营预算财政拨款</w:t>
            </w: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    次</w:t>
            </w: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1</w:t>
            </w: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    次</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4"/>
              </w:rPr>
            </w:pP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4</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5</w:t>
            </w: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18"/>
                <w:szCs w:val="21"/>
              </w:rPr>
              <w:t>二十一、国有资本经营预算支出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53</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16"/>
                <w:szCs w:val="20"/>
              </w:rPr>
              <w:t>二十二、灾害防治及应急管理支出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54</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20"/>
              </w:rPr>
              <w:t>二十三、其他支出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55</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24</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20"/>
              </w:rPr>
              <w:t>二十四、债务还本支出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56</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20"/>
              </w:rPr>
              <w:t>二十五、债务付息支出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57</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宋体" w:hAnsi="宋体" w:eastAsia="宋体" w:cs="宋体"/>
                <w:color w:val="000000"/>
                <w:sz w:val="22"/>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16"/>
                <w:szCs w:val="20"/>
              </w:rPr>
              <w:t>二十六、抗疫特别国债安排的支出</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58</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r>
              <w:rPr>
                <w:rFonts w:hint="eastAsia"/>
                <w:b/>
                <w:bCs/>
              </w:rPr>
              <w:t>本年收入合计</w:t>
            </w: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r>
              <w:rPr>
                <w:rFonts w:hint="default" w:ascii="宋体" w:hAnsi="宋体" w:eastAsia="宋体" w:cs="宋体"/>
                <w:color w:val="000000"/>
                <w:sz w:val="22"/>
                <w:lang w:val="en-US" w:eastAsia="zh-CN"/>
              </w:rPr>
              <w:t>325.59</w:t>
            </w: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Cs w:val="21"/>
                <w:lang w:bidi="ar"/>
              </w:rPr>
            </w:pPr>
            <w:r>
              <w:rPr>
                <w:rFonts w:hint="eastAsia"/>
                <w:b/>
                <w:bCs/>
                <w:sz w:val="20"/>
              </w:rPr>
              <w:t>本年支出合计</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59</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b/>
                <w:color w:val="000000"/>
                <w:kern w:val="0"/>
                <w:sz w:val="20"/>
                <w:szCs w:val="20"/>
                <w:lang w:bidi="ar"/>
              </w:rPr>
            </w:pPr>
            <w:r>
              <w:rPr>
                <w:rFonts w:hint="eastAsia"/>
                <w:sz w:val="18"/>
                <w:szCs w:val="21"/>
              </w:rPr>
              <w:t>年初财政拨款结转和结余</w:t>
            </w: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r>
              <w:rPr>
                <w:rFonts w:hint="default" w:ascii="宋体" w:hAnsi="宋体" w:eastAsia="宋体" w:cs="宋体"/>
                <w:color w:val="000000"/>
                <w:sz w:val="22"/>
                <w:lang w:val="en-US" w:eastAsia="zh-CN"/>
              </w:rPr>
              <w:t>58.64</w:t>
            </w: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r>
              <w:rPr>
                <w:rFonts w:hint="eastAsia"/>
                <w:sz w:val="20"/>
              </w:rPr>
              <w:t>年末财政拨款结转和结余</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60</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b/>
                <w:color w:val="000000"/>
                <w:kern w:val="0"/>
                <w:sz w:val="20"/>
                <w:szCs w:val="20"/>
                <w:lang w:bidi="ar"/>
              </w:rPr>
            </w:pPr>
            <w:r>
              <w:rPr>
                <w:rFonts w:hint="eastAsia"/>
                <w:sz w:val="18"/>
                <w:szCs w:val="21"/>
              </w:rPr>
              <w:t xml:space="preserve">  一般公共预算财政拨款</w:t>
            </w: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29</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r>
              <w:rPr>
                <w:rFonts w:hint="default" w:ascii="宋体" w:hAnsi="宋体" w:eastAsia="宋体" w:cs="宋体"/>
                <w:color w:val="000000"/>
                <w:sz w:val="22"/>
                <w:lang w:val="en-US" w:eastAsia="zh-CN"/>
              </w:rPr>
              <w:t>58.64</w:t>
            </w: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61</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b/>
                <w:color w:val="000000"/>
                <w:kern w:val="0"/>
                <w:sz w:val="20"/>
                <w:szCs w:val="20"/>
                <w:lang w:bidi="ar"/>
              </w:rPr>
            </w:pPr>
            <w:r>
              <w:rPr>
                <w:rFonts w:hint="eastAsia"/>
                <w:sz w:val="18"/>
                <w:szCs w:val="21"/>
              </w:rPr>
              <w:t xml:space="preserve">  政府性基金预算财政拨款</w:t>
            </w: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30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62</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b/>
                <w:color w:val="000000"/>
                <w:kern w:val="0"/>
                <w:sz w:val="20"/>
                <w:szCs w:val="20"/>
                <w:lang w:bidi="ar"/>
              </w:rPr>
            </w:pPr>
            <w:r>
              <w:rPr>
                <w:rFonts w:hint="eastAsia"/>
                <w:sz w:val="16"/>
                <w:szCs w:val="20"/>
              </w:rPr>
              <w:t xml:space="preserve">  国有资本经营预算财政拨款</w:t>
            </w: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 w:val="22"/>
                <w:lang w:bidi="ar"/>
              </w:rPr>
            </w:pPr>
            <w:r>
              <w:rPr>
                <w:rFonts w:hint="eastAsia"/>
              </w:rPr>
              <w:t>31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b/>
                <w:color w:val="000000"/>
                <w:kern w:val="0"/>
                <w:szCs w:val="21"/>
                <w:lang w:bidi="ar"/>
              </w:rPr>
            </w:pP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63</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442" w:hRule="exact"/>
          <w:jc w:val="center"/>
        </w:trPr>
        <w:tc>
          <w:tcPr>
            <w:tcW w:w="23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 w:val="22"/>
                <w:lang w:bidi="ar"/>
              </w:rPr>
            </w:pPr>
            <w:r>
              <w:rPr>
                <w:rFonts w:hint="eastAsia"/>
                <w:b/>
                <w:bCs/>
              </w:rPr>
              <w:t>总计</w:t>
            </w:r>
          </w:p>
        </w:tc>
        <w:tc>
          <w:tcPr>
            <w:tcW w:w="5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pPr>
            <w:r>
              <w:rPr>
                <w:rFonts w:hint="eastAsia"/>
              </w:rPr>
              <w:t>32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c>
          <w:tcPr>
            <w:tcW w:w="24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color w:val="000000"/>
                <w:kern w:val="0"/>
                <w:szCs w:val="21"/>
                <w:lang w:bidi="ar"/>
              </w:rPr>
            </w:pPr>
            <w:r>
              <w:rPr>
                <w:rFonts w:hint="eastAsia"/>
                <w:b/>
                <w:bCs/>
                <w:sz w:val="20"/>
              </w:rPr>
              <w:t>总计</w:t>
            </w:r>
          </w:p>
        </w:tc>
        <w:tc>
          <w:tcPr>
            <w:tcW w:w="4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kern w:val="0"/>
                <w:szCs w:val="21"/>
                <w:lang w:bidi="ar"/>
              </w:rPr>
            </w:pPr>
            <w:r>
              <w:rPr>
                <w:rFonts w:hint="eastAsia"/>
                <w:sz w:val="20"/>
              </w:rPr>
              <w:t>64</w:t>
            </w:r>
          </w:p>
        </w:tc>
        <w:tc>
          <w:tcPr>
            <w:tcW w:w="75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2"/>
              </w:rPr>
            </w:pPr>
          </w:p>
        </w:tc>
      </w:tr>
      <w:tr>
        <w:tblPrEx>
          <w:tblCellMar>
            <w:top w:w="15" w:type="dxa"/>
            <w:left w:w="15" w:type="dxa"/>
            <w:bottom w:w="15" w:type="dxa"/>
            <w:right w:w="15" w:type="dxa"/>
          </w:tblCellMar>
        </w:tblPrEx>
        <w:trPr>
          <w:trHeight w:val="843" w:hRule="atLeast"/>
          <w:jc w:val="center"/>
        </w:trPr>
        <w:tc>
          <w:tcPr>
            <w:tcW w:w="10420" w:type="dxa"/>
            <w:gridSpan w:val="10"/>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注：本表反映</w:t>
            </w:r>
            <w:r>
              <w:rPr>
                <w:rFonts w:hint="eastAsia" w:ascii="宋体" w:hAnsi="宋体" w:eastAsia="宋体" w:cs="宋体"/>
                <w:color w:val="000000"/>
                <w:kern w:val="0"/>
                <w:sz w:val="24"/>
                <w:szCs w:val="24"/>
                <w:lang w:eastAsia="zh-CN" w:bidi="ar"/>
              </w:rPr>
              <w:t>单位</w:t>
            </w:r>
            <w:r>
              <w:rPr>
                <w:rFonts w:hint="eastAsia" w:ascii="宋体" w:hAnsi="宋体" w:eastAsia="宋体" w:cs="宋体"/>
                <w:color w:val="000000"/>
                <w:kern w:val="0"/>
                <w:sz w:val="24"/>
                <w:szCs w:val="24"/>
                <w:lang w:bidi="ar"/>
              </w:rPr>
              <w:t>本年度一般公共预算财政拨款、政府性基金预算财政拨款和国有资本经营预算财政拨款的总收支和年末结转结余情况。</w:t>
            </w:r>
          </w:p>
        </w:tc>
      </w:tr>
    </w:tbl>
    <w:p>
      <w:pPr>
        <w:widowControl/>
        <w:jc w:val="center"/>
        <w:textAlignment w:val="center"/>
        <w:rPr>
          <w:rFonts w:ascii="华文中宋" w:hAnsi="华文中宋" w:eastAsia="华文中宋" w:cs="华文中宋"/>
          <w:color w:val="000000"/>
          <w:kern w:val="0"/>
          <w:sz w:val="32"/>
          <w:szCs w:val="32"/>
          <w:lang w:bidi="ar"/>
        </w:rPr>
      </w:pPr>
      <w:r>
        <w:rPr>
          <w:rFonts w:hint="eastAsia" w:ascii="华文中宋" w:hAnsi="华文中宋" w:eastAsia="华文中宋" w:cs="华文中宋"/>
          <w:color w:val="000000"/>
          <w:kern w:val="0"/>
          <w:sz w:val="32"/>
          <w:szCs w:val="32"/>
          <w:lang w:bidi="ar"/>
        </w:rPr>
        <w:br w:type="page"/>
      </w:r>
    </w:p>
    <w:tbl>
      <w:tblPr>
        <w:tblStyle w:val="6"/>
        <w:tblW w:w="10900" w:type="dxa"/>
        <w:jc w:val="center"/>
        <w:tblLayout w:type="fixed"/>
        <w:tblCellMar>
          <w:top w:w="15" w:type="dxa"/>
          <w:left w:w="15" w:type="dxa"/>
          <w:bottom w:w="15" w:type="dxa"/>
          <w:right w:w="15" w:type="dxa"/>
        </w:tblCellMar>
      </w:tblPr>
      <w:tblGrid>
        <w:gridCol w:w="602"/>
        <w:gridCol w:w="806"/>
        <w:gridCol w:w="2616"/>
        <w:gridCol w:w="2397"/>
        <w:gridCol w:w="2186"/>
        <w:gridCol w:w="2293"/>
      </w:tblGrid>
      <w:tr>
        <w:tblPrEx>
          <w:tblCellMar>
            <w:top w:w="15" w:type="dxa"/>
            <w:left w:w="15" w:type="dxa"/>
            <w:bottom w:w="15" w:type="dxa"/>
            <w:right w:w="15" w:type="dxa"/>
          </w:tblCellMar>
        </w:tblPrEx>
        <w:trPr>
          <w:trHeight w:val="628" w:hRule="atLeast"/>
          <w:jc w:val="center"/>
        </w:trPr>
        <w:tc>
          <w:tcPr>
            <w:tcW w:w="10900" w:type="dxa"/>
            <w:gridSpan w:val="6"/>
            <w:shd w:val="clear" w:color="auto" w:fill="FFFFFF"/>
            <w:vAlign w:val="center"/>
          </w:tcPr>
          <w:p>
            <w:pPr>
              <w:widowControl/>
              <w:jc w:val="center"/>
              <w:textAlignment w:val="center"/>
              <w:rPr>
                <w:rFonts w:ascii="华文中宋" w:hAnsi="华文中宋" w:eastAsia="华文中宋" w:cs="华文中宋"/>
                <w:b/>
                <w:bCs/>
                <w:color w:val="000000"/>
                <w:sz w:val="32"/>
                <w:szCs w:val="32"/>
              </w:rPr>
            </w:pPr>
            <w:r>
              <w:rPr>
                <w:rFonts w:hint="eastAsia" w:ascii="华文中宋" w:hAnsi="华文中宋" w:eastAsia="华文中宋" w:cs="华文中宋"/>
                <w:b/>
                <w:bCs/>
                <w:color w:val="000000"/>
                <w:kern w:val="0"/>
                <w:sz w:val="32"/>
                <w:szCs w:val="32"/>
                <w:lang w:bidi="ar"/>
              </w:rPr>
              <w:t>一般公共预算财政拨款支出决算表</w:t>
            </w:r>
          </w:p>
        </w:tc>
      </w:tr>
      <w:tr>
        <w:tblPrEx>
          <w:tblCellMar>
            <w:top w:w="15" w:type="dxa"/>
            <w:left w:w="15" w:type="dxa"/>
            <w:bottom w:w="15" w:type="dxa"/>
            <w:right w:w="15" w:type="dxa"/>
          </w:tblCellMar>
        </w:tblPrEx>
        <w:trPr>
          <w:trHeight w:val="286" w:hRule="atLeast"/>
          <w:jc w:val="center"/>
        </w:trPr>
        <w:tc>
          <w:tcPr>
            <w:tcW w:w="602" w:type="dxa"/>
            <w:shd w:val="clear" w:color="auto" w:fill="FFFFFF"/>
            <w:vAlign w:val="center"/>
          </w:tcPr>
          <w:p>
            <w:pPr>
              <w:jc w:val="center"/>
              <w:rPr>
                <w:rFonts w:ascii="宋体" w:hAnsi="宋体" w:eastAsia="宋体" w:cs="宋体"/>
                <w:color w:val="000000"/>
                <w:sz w:val="20"/>
                <w:szCs w:val="20"/>
              </w:rPr>
            </w:pPr>
          </w:p>
        </w:tc>
        <w:tc>
          <w:tcPr>
            <w:tcW w:w="806" w:type="dxa"/>
            <w:shd w:val="clear" w:color="auto" w:fill="FFFFFF"/>
            <w:vAlign w:val="center"/>
          </w:tcPr>
          <w:p>
            <w:pPr>
              <w:jc w:val="center"/>
              <w:rPr>
                <w:rFonts w:ascii="宋体" w:hAnsi="宋体" w:eastAsia="宋体" w:cs="宋体"/>
                <w:color w:val="000000"/>
                <w:sz w:val="20"/>
                <w:szCs w:val="20"/>
              </w:rPr>
            </w:pPr>
          </w:p>
        </w:tc>
        <w:tc>
          <w:tcPr>
            <w:tcW w:w="2616" w:type="dxa"/>
            <w:shd w:val="clear" w:color="auto" w:fill="FFFFFF"/>
            <w:vAlign w:val="center"/>
          </w:tcPr>
          <w:p>
            <w:pPr>
              <w:jc w:val="center"/>
              <w:rPr>
                <w:rFonts w:ascii="宋体" w:hAnsi="宋体" w:eastAsia="宋体" w:cs="宋体"/>
                <w:color w:val="000000"/>
                <w:sz w:val="20"/>
                <w:szCs w:val="20"/>
              </w:rPr>
            </w:pPr>
          </w:p>
        </w:tc>
        <w:tc>
          <w:tcPr>
            <w:tcW w:w="2397" w:type="dxa"/>
            <w:shd w:val="clear" w:color="auto" w:fill="FFFFFF"/>
            <w:vAlign w:val="center"/>
          </w:tcPr>
          <w:p>
            <w:pPr>
              <w:rPr>
                <w:rFonts w:ascii="宋体" w:hAnsi="宋体" w:eastAsia="宋体" w:cs="宋体"/>
                <w:color w:val="000000"/>
                <w:sz w:val="20"/>
                <w:szCs w:val="20"/>
              </w:rPr>
            </w:pPr>
          </w:p>
        </w:tc>
        <w:tc>
          <w:tcPr>
            <w:tcW w:w="2186" w:type="dxa"/>
            <w:shd w:val="clear" w:color="auto" w:fill="FFFFFF"/>
            <w:vAlign w:val="center"/>
          </w:tcPr>
          <w:p>
            <w:pPr>
              <w:rPr>
                <w:rFonts w:ascii="宋体" w:hAnsi="宋体" w:eastAsia="宋体" w:cs="宋体"/>
                <w:color w:val="000000"/>
                <w:sz w:val="20"/>
                <w:szCs w:val="20"/>
              </w:rPr>
            </w:pPr>
          </w:p>
        </w:tc>
        <w:tc>
          <w:tcPr>
            <w:tcW w:w="2293" w:type="dxa"/>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w:t>
            </w:r>
            <w:r>
              <w:rPr>
                <w:rStyle w:val="11"/>
                <w:rFonts w:hint="default"/>
                <w:lang w:bidi="ar"/>
              </w:rPr>
              <w:t>5表</w:t>
            </w:r>
          </w:p>
        </w:tc>
      </w:tr>
      <w:tr>
        <w:tblPrEx>
          <w:tblCellMar>
            <w:top w:w="15" w:type="dxa"/>
            <w:left w:w="15" w:type="dxa"/>
            <w:bottom w:w="15" w:type="dxa"/>
            <w:right w:w="15" w:type="dxa"/>
          </w:tblCellMar>
        </w:tblPrEx>
        <w:trPr>
          <w:trHeight w:val="327" w:hRule="atLeast"/>
          <w:jc w:val="center"/>
        </w:trPr>
        <w:tc>
          <w:tcPr>
            <w:tcW w:w="602" w:type="dxa"/>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单位</w:t>
            </w:r>
            <w:r>
              <w:rPr>
                <w:rFonts w:hint="eastAsia" w:ascii="宋体" w:hAnsi="宋体" w:eastAsia="宋体" w:cs="宋体"/>
                <w:color w:val="000000"/>
                <w:kern w:val="0"/>
                <w:sz w:val="20"/>
                <w:szCs w:val="20"/>
                <w:lang w:bidi="ar"/>
              </w:rPr>
              <w:t>：</w:t>
            </w:r>
          </w:p>
        </w:tc>
        <w:tc>
          <w:tcPr>
            <w:tcW w:w="3422" w:type="dxa"/>
            <w:gridSpan w:val="2"/>
            <w:shd w:val="clear" w:color="auto" w:fill="FFFFFF"/>
            <w:vAlign w:val="center"/>
          </w:tcPr>
          <w:p>
            <w:pPr>
              <w:jc w:val="left"/>
              <w:rPr>
                <w:rFonts w:ascii="宋体" w:hAnsi="宋体" w:eastAsia="宋体" w:cs="宋体"/>
                <w:color w:val="000000"/>
                <w:sz w:val="20"/>
                <w:szCs w:val="20"/>
              </w:rPr>
            </w:pPr>
            <w:r>
              <w:rPr>
                <w:rFonts w:hint="eastAsia" w:ascii="宋体" w:hAnsi="宋体" w:eastAsia="宋体" w:cs="宋体"/>
                <w:color w:val="000000"/>
                <w:sz w:val="20"/>
                <w:szCs w:val="20"/>
                <w:lang w:eastAsia="zh-CN"/>
              </w:rPr>
              <w:t>石家庄循环化工园区医院</w:t>
            </w:r>
            <w:r>
              <w:rPr>
                <w:rFonts w:hint="eastAsia" w:ascii="宋体" w:hAnsi="宋体" w:eastAsia="宋体" w:cs="宋体"/>
                <w:color w:val="000000"/>
                <w:sz w:val="20"/>
                <w:szCs w:val="20"/>
              </w:rPr>
              <w:t xml:space="preserve">             </w:t>
            </w:r>
          </w:p>
        </w:tc>
        <w:tc>
          <w:tcPr>
            <w:tcW w:w="2397" w:type="dxa"/>
            <w:shd w:val="clear" w:color="auto" w:fill="FFFFFF"/>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2023年度</w:t>
            </w:r>
          </w:p>
        </w:tc>
        <w:tc>
          <w:tcPr>
            <w:tcW w:w="2186" w:type="dxa"/>
            <w:shd w:val="clear" w:color="auto" w:fill="FFFFFF"/>
            <w:vAlign w:val="center"/>
          </w:tcPr>
          <w:p>
            <w:pPr>
              <w:rPr>
                <w:rFonts w:ascii="宋体" w:hAnsi="宋体" w:eastAsia="宋体" w:cs="宋体"/>
                <w:color w:val="000000"/>
                <w:sz w:val="20"/>
                <w:szCs w:val="20"/>
              </w:rPr>
            </w:pPr>
          </w:p>
        </w:tc>
        <w:tc>
          <w:tcPr>
            <w:tcW w:w="2293" w:type="dxa"/>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金额</w:t>
            </w:r>
            <w:r>
              <w:rPr>
                <w:rFonts w:hint="eastAsia" w:ascii="宋体" w:hAnsi="宋体" w:eastAsia="宋体" w:cs="宋体"/>
                <w:color w:val="000000"/>
                <w:kern w:val="0"/>
                <w:sz w:val="20"/>
                <w:szCs w:val="20"/>
                <w:lang w:bidi="ar"/>
              </w:rPr>
              <w:t>单位：万元</w:t>
            </w:r>
          </w:p>
        </w:tc>
      </w:tr>
      <w:tr>
        <w:tblPrEx>
          <w:tblCellMar>
            <w:top w:w="15" w:type="dxa"/>
            <w:left w:w="15" w:type="dxa"/>
            <w:bottom w:w="15" w:type="dxa"/>
            <w:right w:w="15" w:type="dxa"/>
          </w:tblCellMar>
        </w:tblPrEx>
        <w:trPr>
          <w:trHeight w:val="380" w:hRule="atLeast"/>
          <w:jc w:val="center"/>
        </w:trPr>
        <w:tc>
          <w:tcPr>
            <w:tcW w:w="40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 xml:space="preserve">项 </w:t>
            </w:r>
            <w:r>
              <w:rPr>
                <w:rStyle w:val="12"/>
                <w:rFonts w:hint="default"/>
                <w:lang w:bidi="ar"/>
              </w:rPr>
              <w:t xml:space="preserve">   </w:t>
            </w:r>
            <w:r>
              <w:rPr>
                <w:rStyle w:val="13"/>
                <w:rFonts w:hint="default"/>
                <w:lang w:bidi="ar"/>
              </w:rPr>
              <w:t>目</w:t>
            </w:r>
          </w:p>
        </w:tc>
        <w:tc>
          <w:tcPr>
            <w:tcW w:w="68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本年支出</w:t>
            </w:r>
          </w:p>
        </w:tc>
      </w:tr>
      <w:tr>
        <w:tblPrEx>
          <w:tblCellMar>
            <w:top w:w="15" w:type="dxa"/>
            <w:left w:w="15" w:type="dxa"/>
            <w:bottom w:w="15" w:type="dxa"/>
            <w:right w:w="15" w:type="dxa"/>
          </w:tblCellMar>
        </w:tblPrEx>
        <w:trPr>
          <w:trHeight w:val="360" w:hRule="atLeast"/>
          <w:jc w:val="center"/>
        </w:trPr>
        <w:tc>
          <w:tcPr>
            <w:tcW w:w="14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科目代码</w:t>
            </w:r>
          </w:p>
        </w:tc>
        <w:tc>
          <w:tcPr>
            <w:tcW w:w="2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科目名称</w:t>
            </w:r>
          </w:p>
        </w:tc>
        <w:tc>
          <w:tcPr>
            <w:tcW w:w="2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小计</w:t>
            </w:r>
          </w:p>
        </w:tc>
        <w:tc>
          <w:tcPr>
            <w:tcW w:w="21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 xml:space="preserve">基本支出  </w:t>
            </w:r>
          </w:p>
        </w:tc>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项目支出</w:t>
            </w:r>
          </w:p>
        </w:tc>
      </w:tr>
      <w:tr>
        <w:tblPrEx>
          <w:tblCellMar>
            <w:top w:w="15" w:type="dxa"/>
            <w:left w:w="15" w:type="dxa"/>
            <w:bottom w:w="15" w:type="dxa"/>
            <w:right w:w="15" w:type="dxa"/>
          </w:tblCellMar>
        </w:tblPrEx>
        <w:trPr>
          <w:trHeight w:val="360" w:hRule="atLeast"/>
          <w:jc w:val="center"/>
        </w:trPr>
        <w:tc>
          <w:tcPr>
            <w:tcW w:w="1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312" w:hRule="atLeast"/>
          <w:jc w:val="center"/>
        </w:trPr>
        <w:tc>
          <w:tcPr>
            <w:tcW w:w="1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1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360" w:hRule="atLeast"/>
          <w:jc w:val="center"/>
        </w:trPr>
        <w:tc>
          <w:tcPr>
            <w:tcW w:w="40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栏次</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1</w:t>
            </w:r>
          </w:p>
        </w:tc>
        <w:tc>
          <w:tcPr>
            <w:tcW w:w="21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2</w:t>
            </w: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3</w:t>
            </w:r>
          </w:p>
        </w:tc>
      </w:tr>
      <w:tr>
        <w:tblPrEx>
          <w:tblCellMar>
            <w:top w:w="15" w:type="dxa"/>
            <w:left w:w="15" w:type="dxa"/>
            <w:bottom w:w="15" w:type="dxa"/>
            <w:right w:w="15" w:type="dxa"/>
          </w:tblCellMar>
        </w:tblPrEx>
        <w:trPr>
          <w:trHeight w:val="360" w:hRule="atLeast"/>
          <w:jc w:val="center"/>
        </w:trPr>
        <w:tc>
          <w:tcPr>
            <w:tcW w:w="40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合计</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c>
          <w:tcPr>
            <w:tcW w:w="2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r>
      <w:tr>
        <w:tblPrEx>
          <w:tblCellMar>
            <w:top w:w="15" w:type="dxa"/>
            <w:left w:w="15" w:type="dxa"/>
            <w:bottom w:w="15" w:type="dxa"/>
            <w:right w:w="15" w:type="dxa"/>
          </w:tblCellMar>
        </w:tblPrEx>
        <w:trPr>
          <w:trHeight w:val="360" w:hRule="atLeast"/>
          <w:jc w:val="center"/>
        </w:trPr>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210</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卫生健康支出</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c>
          <w:tcPr>
            <w:tcW w:w="2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384.23</w:t>
            </w:r>
          </w:p>
        </w:tc>
      </w:tr>
      <w:tr>
        <w:tblPrEx>
          <w:tblCellMar>
            <w:top w:w="15" w:type="dxa"/>
            <w:left w:w="15" w:type="dxa"/>
            <w:bottom w:w="15" w:type="dxa"/>
            <w:right w:w="15" w:type="dxa"/>
          </w:tblCellMar>
        </w:tblPrEx>
        <w:trPr>
          <w:trHeight w:val="360" w:hRule="atLeast"/>
          <w:jc w:val="center"/>
        </w:trPr>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21002</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公立医院</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379.53</w:t>
            </w:r>
          </w:p>
        </w:tc>
        <w:tc>
          <w:tcPr>
            <w:tcW w:w="2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379.53</w:t>
            </w:r>
          </w:p>
        </w:tc>
      </w:tr>
      <w:tr>
        <w:tblPrEx>
          <w:tblCellMar>
            <w:top w:w="15" w:type="dxa"/>
            <w:left w:w="15" w:type="dxa"/>
            <w:bottom w:w="15" w:type="dxa"/>
            <w:right w:w="15" w:type="dxa"/>
          </w:tblCellMar>
        </w:tblPrEx>
        <w:trPr>
          <w:trHeight w:val="360" w:hRule="atLeast"/>
          <w:jc w:val="center"/>
        </w:trPr>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2100201</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综合医院</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379.53</w:t>
            </w:r>
          </w:p>
        </w:tc>
        <w:tc>
          <w:tcPr>
            <w:tcW w:w="2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379.53</w:t>
            </w:r>
          </w:p>
        </w:tc>
      </w:tr>
      <w:tr>
        <w:tblPrEx>
          <w:tblCellMar>
            <w:top w:w="15" w:type="dxa"/>
            <w:left w:w="15" w:type="dxa"/>
            <w:bottom w:w="15" w:type="dxa"/>
            <w:right w:w="15" w:type="dxa"/>
          </w:tblCellMar>
        </w:tblPrEx>
        <w:trPr>
          <w:trHeight w:val="360" w:hRule="atLeast"/>
          <w:jc w:val="center"/>
        </w:trPr>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21004</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公共卫生</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2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r>
      <w:tr>
        <w:tblPrEx>
          <w:tblCellMar>
            <w:top w:w="15" w:type="dxa"/>
            <w:left w:w="15" w:type="dxa"/>
            <w:bottom w:w="15" w:type="dxa"/>
            <w:right w:w="15" w:type="dxa"/>
          </w:tblCellMar>
        </w:tblPrEx>
        <w:trPr>
          <w:trHeight w:val="360" w:hRule="atLeast"/>
          <w:jc w:val="center"/>
        </w:trPr>
        <w:tc>
          <w:tcPr>
            <w:tcW w:w="14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2100410</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lang w:val="en-US" w:eastAsia="zh-CN"/>
              </w:rPr>
            </w:pPr>
            <w:r>
              <w:rPr>
                <w:rFonts w:hint="eastAsia"/>
                <w:lang w:val="en-US" w:eastAsia="zh-CN"/>
              </w:rPr>
              <w:t>突发公共卫生事件应急处理</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c>
          <w:tcPr>
            <w:tcW w:w="2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p>
        </w:tc>
        <w:tc>
          <w:tcPr>
            <w:tcW w:w="2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宋体" w:hAnsi="宋体" w:eastAsia="宋体" w:cs="宋体"/>
                <w:color w:val="000000"/>
                <w:sz w:val="22"/>
                <w:lang w:val="en-US" w:eastAsia="zh-CN"/>
              </w:rPr>
            </w:pPr>
            <w:r>
              <w:rPr>
                <w:rFonts w:hint="default" w:ascii="宋体" w:hAnsi="宋体" w:eastAsia="宋体" w:cs="宋体"/>
                <w:color w:val="000000"/>
                <w:sz w:val="22"/>
                <w:lang w:val="en-US" w:eastAsia="zh-CN"/>
              </w:rPr>
              <w:t>4.70</w:t>
            </w:r>
          </w:p>
        </w:tc>
      </w:tr>
      <w:tr>
        <w:tblPrEx>
          <w:tblCellMar>
            <w:top w:w="15" w:type="dxa"/>
            <w:left w:w="15" w:type="dxa"/>
            <w:bottom w:w="15" w:type="dxa"/>
            <w:right w:w="15" w:type="dxa"/>
          </w:tblCellMar>
        </w:tblPrEx>
        <w:trPr>
          <w:trHeight w:val="803" w:hRule="atLeast"/>
          <w:jc w:val="center"/>
        </w:trPr>
        <w:tc>
          <w:tcPr>
            <w:tcW w:w="10900" w:type="dxa"/>
            <w:gridSpan w:val="6"/>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注：本表反映</w:t>
            </w:r>
            <w:r>
              <w:rPr>
                <w:rFonts w:hint="eastAsia" w:ascii="宋体" w:hAnsi="宋体" w:eastAsia="宋体" w:cs="宋体"/>
                <w:color w:val="000000"/>
                <w:kern w:val="0"/>
                <w:sz w:val="24"/>
                <w:szCs w:val="24"/>
                <w:lang w:eastAsia="zh-CN" w:bidi="ar"/>
              </w:rPr>
              <w:t>单位</w:t>
            </w:r>
            <w:r>
              <w:rPr>
                <w:rFonts w:hint="eastAsia" w:ascii="宋体" w:hAnsi="宋体" w:eastAsia="宋体" w:cs="宋体"/>
                <w:color w:val="000000"/>
                <w:kern w:val="0"/>
                <w:sz w:val="24"/>
                <w:szCs w:val="24"/>
                <w:lang w:bidi="ar"/>
              </w:rPr>
              <w:t>本年度一般公共预算财政拨款支出情况。</w:t>
            </w:r>
          </w:p>
        </w:tc>
      </w:tr>
    </w:tbl>
    <w:p>
      <w:pPr>
        <w:sectPr>
          <w:pgSz w:w="11906" w:h="16838"/>
          <w:pgMar w:top="1474" w:right="1474" w:bottom="1474" w:left="1474" w:header="851" w:footer="992" w:gutter="0"/>
          <w:cols w:space="0" w:num="1"/>
          <w:docGrid w:type="lines" w:linePitch="312" w:charSpace="0"/>
        </w:sectPr>
      </w:pPr>
    </w:p>
    <w:tbl>
      <w:tblPr>
        <w:tblStyle w:val="6"/>
        <w:tblW w:w="10760" w:type="dxa"/>
        <w:jc w:val="center"/>
        <w:tblLayout w:type="fixed"/>
        <w:tblCellMar>
          <w:top w:w="15" w:type="dxa"/>
          <w:left w:w="15" w:type="dxa"/>
          <w:bottom w:w="15" w:type="dxa"/>
          <w:right w:w="15" w:type="dxa"/>
        </w:tblCellMar>
      </w:tblPr>
      <w:tblGrid>
        <w:gridCol w:w="663"/>
        <w:gridCol w:w="2440"/>
        <w:gridCol w:w="544"/>
        <w:gridCol w:w="634"/>
        <w:gridCol w:w="1871"/>
        <w:gridCol w:w="721"/>
        <w:gridCol w:w="615"/>
        <w:gridCol w:w="2543"/>
        <w:gridCol w:w="729"/>
      </w:tblGrid>
      <w:tr>
        <w:tblPrEx>
          <w:tblCellMar>
            <w:top w:w="15" w:type="dxa"/>
            <w:left w:w="15" w:type="dxa"/>
            <w:bottom w:w="15" w:type="dxa"/>
            <w:right w:w="15" w:type="dxa"/>
          </w:tblCellMar>
        </w:tblPrEx>
        <w:trPr>
          <w:trHeight w:val="619" w:hRule="atLeast"/>
          <w:jc w:val="center"/>
        </w:trPr>
        <w:tc>
          <w:tcPr>
            <w:tcW w:w="10760" w:type="dxa"/>
            <w:gridSpan w:val="9"/>
            <w:shd w:val="clear" w:color="auto" w:fill="FFFFFF"/>
            <w:vAlign w:val="center"/>
          </w:tcPr>
          <w:p>
            <w:pPr>
              <w:widowControl/>
              <w:tabs>
                <w:tab w:val="left" w:pos="3809"/>
              </w:tabs>
              <w:jc w:val="center"/>
              <w:textAlignment w:val="center"/>
              <w:rPr>
                <w:rFonts w:ascii="宋体" w:hAnsi="宋体" w:eastAsia="宋体" w:cs="宋体"/>
                <w:color w:val="000000"/>
                <w:kern w:val="0"/>
                <w:sz w:val="20"/>
                <w:szCs w:val="20"/>
                <w:lang w:bidi="ar"/>
              </w:rPr>
            </w:pPr>
            <w:r>
              <w:rPr>
                <w:rFonts w:hint="eastAsia" w:ascii="华文中宋" w:hAnsi="华文中宋" w:eastAsia="华文中宋" w:cs="华文中宋"/>
                <w:b/>
                <w:bCs/>
                <w:color w:val="000000"/>
                <w:kern w:val="0"/>
                <w:sz w:val="32"/>
                <w:szCs w:val="32"/>
                <w:lang w:bidi="ar"/>
              </w:rPr>
              <w:t>一般公共预算财政拨款基本支出决算</w:t>
            </w:r>
            <w:r>
              <w:rPr>
                <w:rStyle w:val="14"/>
                <w:rFonts w:hint="default"/>
                <w:b/>
                <w:bCs/>
                <w:lang w:bidi="ar"/>
              </w:rPr>
              <w:t>明细</w:t>
            </w:r>
            <w:r>
              <w:rPr>
                <w:rStyle w:val="15"/>
                <w:rFonts w:hint="default"/>
                <w:b/>
                <w:bCs/>
                <w:lang w:bidi="ar"/>
              </w:rPr>
              <w:t>表</w:t>
            </w:r>
          </w:p>
        </w:tc>
      </w:tr>
      <w:tr>
        <w:tblPrEx>
          <w:tblCellMar>
            <w:top w:w="15" w:type="dxa"/>
            <w:left w:w="15" w:type="dxa"/>
            <w:bottom w:w="15" w:type="dxa"/>
            <w:right w:w="15" w:type="dxa"/>
          </w:tblCellMar>
        </w:tblPrEx>
        <w:trPr>
          <w:trHeight w:val="211" w:hRule="atLeast"/>
          <w:jc w:val="center"/>
        </w:trPr>
        <w:tc>
          <w:tcPr>
            <w:tcW w:w="663" w:type="dxa"/>
            <w:shd w:val="clear" w:color="auto" w:fill="FFFFFF"/>
            <w:vAlign w:val="center"/>
          </w:tcPr>
          <w:p>
            <w:pPr>
              <w:jc w:val="center"/>
              <w:rPr>
                <w:rFonts w:ascii="宋体" w:hAnsi="宋体" w:eastAsia="宋体" w:cs="宋体"/>
                <w:color w:val="000000"/>
                <w:sz w:val="20"/>
                <w:szCs w:val="20"/>
              </w:rPr>
            </w:pPr>
          </w:p>
        </w:tc>
        <w:tc>
          <w:tcPr>
            <w:tcW w:w="2440" w:type="dxa"/>
            <w:shd w:val="clear" w:color="auto" w:fill="FFFFFF"/>
            <w:vAlign w:val="center"/>
          </w:tcPr>
          <w:p>
            <w:pPr>
              <w:jc w:val="center"/>
              <w:rPr>
                <w:rFonts w:ascii="宋体" w:hAnsi="宋体" w:eastAsia="宋体" w:cs="宋体"/>
                <w:color w:val="000000"/>
                <w:sz w:val="20"/>
                <w:szCs w:val="20"/>
              </w:rPr>
            </w:pPr>
          </w:p>
        </w:tc>
        <w:tc>
          <w:tcPr>
            <w:tcW w:w="544" w:type="dxa"/>
            <w:shd w:val="clear" w:color="auto" w:fill="FFFFFF"/>
            <w:vAlign w:val="center"/>
          </w:tcPr>
          <w:p>
            <w:pPr>
              <w:jc w:val="center"/>
              <w:rPr>
                <w:rFonts w:ascii="宋体" w:hAnsi="宋体" w:eastAsia="宋体" w:cs="宋体"/>
                <w:color w:val="000000"/>
                <w:sz w:val="20"/>
                <w:szCs w:val="20"/>
              </w:rPr>
            </w:pPr>
          </w:p>
        </w:tc>
        <w:tc>
          <w:tcPr>
            <w:tcW w:w="634" w:type="dxa"/>
            <w:shd w:val="clear" w:color="auto" w:fill="FFFFFF"/>
            <w:vAlign w:val="center"/>
          </w:tcPr>
          <w:p>
            <w:pPr>
              <w:rPr>
                <w:rFonts w:ascii="宋体" w:hAnsi="宋体" w:eastAsia="宋体" w:cs="宋体"/>
                <w:color w:val="000000"/>
                <w:sz w:val="20"/>
                <w:szCs w:val="20"/>
              </w:rPr>
            </w:pPr>
          </w:p>
        </w:tc>
        <w:tc>
          <w:tcPr>
            <w:tcW w:w="1871" w:type="dxa"/>
            <w:shd w:val="clear" w:color="auto" w:fill="FFFFFF"/>
            <w:vAlign w:val="center"/>
          </w:tcPr>
          <w:p>
            <w:pPr>
              <w:rPr>
                <w:rFonts w:ascii="宋体" w:hAnsi="宋体" w:eastAsia="宋体" w:cs="宋体"/>
                <w:color w:val="000000"/>
                <w:sz w:val="20"/>
                <w:szCs w:val="20"/>
              </w:rPr>
            </w:pPr>
          </w:p>
        </w:tc>
        <w:tc>
          <w:tcPr>
            <w:tcW w:w="721" w:type="dxa"/>
            <w:shd w:val="clear" w:color="auto" w:fill="FFFFFF"/>
            <w:vAlign w:val="center"/>
          </w:tcPr>
          <w:p>
            <w:pPr>
              <w:rPr>
                <w:rFonts w:ascii="宋体" w:hAnsi="宋体" w:eastAsia="宋体" w:cs="宋体"/>
                <w:color w:val="000000"/>
                <w:sz w:val="20"/>
                <w:szCs w:val="20"/>
              </w:rPr>
            </w:pPr>
          </w:p>
        </w:tc>
        <w:tc>
          <w:tcPr>
            <w:tcW w:w="615" w:type="dxa"/>
            <w:shd w:val="clear" w:color="auto" w:fill="FFFFFF"/>
            <w:vAlign w:val="center"/>
          </w:tcPr>
          <w:p>
            <w:pPr>
              <w:rPr>
                <w:rFonts w:ascii="宋体" w:hAnsi="宋体" w:eastAsia="宋体" w:cs="宋体"/>
                <w:color w:val="000000"/>
                <w:sz w:val="20"/>
                <w:szCs w:val="20"/>
              </w:rPr>
            </w:pPr>
          </w:p>
        </w:tc>
        <w:tc>
          <w:tcPr>
            <w:tcW w:w="3272" w:type="dxa"/>
            <w:gridSpan w:val="2"/>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公开06表</w:t>
            </w:r>
          </w:p>
        </w:tc>
      </w:tr>
      <w:tr>
        <w:tblPrEx>
          <w:tblCellMar>
            <w:top w:w="15" w:type="dxa"/>
            <w:left w:w="15" w:type="dxa"/>
            <w:bottom w:w="15" w:type="dxa"/>
            <w:right w:w="15" w:type="dxa"/>
          </w:tblCellMar>
        </w:tblPrEx>
        <w:trPr>
          <w:trHeight w:val="266" w:hRule="atLeast"/>
          <w:jc w:val="center"/>
        </w:trPr>
        <w:tc>
          <w:tcPr>
            <w:tcW w:w="663" w:type="dxa"/>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单位</w:t>
            </w:r>
            <w:r>
              <w:rPr>
                <w:rFonts w:hint="eastAsia" w:ascii="宋体" w:hAnsi="宋体" w:eastAsia="宋体" w:cs="宋体"/>
                <w:color w:val="000000"/>
                <w:kern w:val="0"/>
                <w:sz w:val="20"/>
                <w:szCs w:val="20"/>
                <w:lang w:bidi="ar"/>
              </w:rPr>
              <w:t>：</w:t>
            </w:r>
          </w:p>
        </w:tc>
        <w:tc>
          <w:tcPr>
            <w:tcW w:w="2440" w:type="dxa"/>
            <w:shd w:val="clear" w:color="auto" w:fill="auto"/>
            <w:vAlign w:val="center"/>
          </w:tcPr>
          <w:p>
            <w:pP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石家庄循环化工园区医院</w:t>
            </w:r>
          </w:p>
        </w:tc>
        <w:tc>
          <w:tcPr>
            <w:tcW w:w="544" w:type="dxa"/>
            <w:shd w:val="clear" w:color="auto" w:fill="auto"/>
            <w:vAlign w:val="center"/>
          </w:tcPr>
          <w:p>
            <w:pPr>
              <w:rPr>
                <w:rFonts w:ascii="宋体" w:hAnsi="宋体" w:eastAsia="宋体" w:cs="宋体"/>
                <w:color w:val="000000"/>
                <w:sz w:val="20"/>
                <w:szCs w:val="20"/>
              </w:rPr>
            </w:pPr>
          </w:p>
        </w:tc>
        <w:tc>
          <w:tcPr>
            <w:tcW w:w="634" w:type="dxa"/>
            <w:shd w:val="clear" w:color="auto" w:fill="auto"/>
            <w:vAlign w:val="center"/>
          </w:tcPr>
          <w:p>
            <w:pPr>
              <w:rPr>
                <w:rFonts w:ascii="宋体" w:hAnsi="宋体" w:eastAsia="宋体" w:cs="宋体"/>
                <w:color w:val="000000"/>
                <w:sz w:val="20"/>
                <w:szCs w:val="20"/>
              </w:rPr>
            </w:pPr>
          </w:p>
        </w:tc>
        <w:tc>
          <w:tcPr>
            <w:tcW w:w="1871" w:type="dxa"/>
            <w:shd w:val="clear" w:color="auto" w:fill="auto"/>
            <w:vAlign w:val="center"/>
          </w:tcPr>
          <w:p>
            <w:pPr>
              <w:ind w:firstLine="600" w:firstLineChars="300"/>
              <w:rPr>
                <w:rFonts w:ascii="宋体" w:hAnsi="宋体" w:eastAsia="宋体" w:cs="宋体"/>
                <w:color w:val="000000"/>
                <w:sz w:val="20"/>
                <w:szCs w:val="20"/>
              </w:rPr>
            </w:pPr>
            <w:r>
              <w:rPr>
                <w:rFonts w:hint="eastAsia" w:ascii="宋体" w:hAnsi="宋体" w:eastAsia="宋体" w:cs="宋体"/>
                <w:color w:val="000000"/>
                <w:sz w:val="20"/>
                <w:szCs w:val="20"/>
              </w:rPr>
              <w:t>2023年度</w:t>
            </w:r>
          </w:p>
        </w:tc>
        <w:tc>
          <w:tcPr>
            <w:tcW w:w="721" w:type="dxa"/>
            <w:shd w:val="clear" w:color="auto" w:fill="auto"/>
            <w:vAlign w:val="center"/>
          </w:tcPr>
          <w:p>
            <w:pPr>
              <w:rPr>
                <w:rFonts w:ascii="宋体" w:hAnsi="宋体" w:eastAsia="宋体" w:cs="宋体"/>
                <w:color w:val="000000"/>
                <w:sz w:val="20"/>
                <w:szCs w:val="20"/>
              </w:rPr>
            </w:pPr>
          </w:p>
        </w:tc>
        <w:tc>
          <w:tcPr>
            <w:tcW w:w="615" w:type="dxa"/>
            <w:shd w:val="clear" w:color="auto" w:fill="auto"/>
            <w:vAlign w:val="center"/>
          </w:tcPr>
          <w:p>
            <w:pPr>
              <w:rPr>
                <w:rFonts w:ascii="宋体" w:hAnsi="宋体" w:eastAsia="宋体" w:cs="宋体"/>
                <w:color w:val="000000"/>
                <w:sz w:val="20"/>
                <w:szCs w:val="20"/>
              </w:rPr>
            </w:pPr>
          </w:p>
        </w:tc>
        <w:tc>
          <w:tcPr>
            <w:tcW w:w="3272" w:type="dxa"/>
            <w:gridSpan w:val="2"/>
            <w:shd w:val="clear" w:color="auto" w:fill="auto"/>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金额</w:t>
            </w:r>
            <w:r>
              <w:rPr>
                <w:rFonts w:hint="eastAsia" w:ascii="宋体" w:hAnsi="宋体" w:eastAsia="宋体" w:cs="宋体"/>
                <w:color w:val="000000"/>
                <w:kern w:val="0"/>
                <w:sz w:val="20"/>
                <w:szCs w:val="20"/>
                <w:lang w:bidi="ar"/>
              </w:rPr>
              <w:t>单位：万元</w:t>
            </w:r>
          </w:p>
        </w:tc>
      </w:tr>
      <w:tr>
        <w:tblPrEx>
          <w:tblCellMar>
            <w:top w:w="15" w:type="dxa"/>
            <w:left w:w="15" w:type="dxa"/>
            <w:bottom w:w="15" w:type="dxa"/>
            <w:right w:w="15" w:type="dxa"/>
          </w:tblCellMar>
        </w:tblPrEx>
        <w:trPr>
          <w:trHeight w:val="629"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科目代码</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科目名称</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决算数</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科目代码</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科目名称</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决算数</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科目代码</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科目名称</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决算数</w:t>
            </w: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工资福利支出</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商品和服务支出</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307</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债务利息及费用支出</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30101</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基本工资</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30201</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办公费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30701</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国内债务付息</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30102</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津贴补贴</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30202</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印刷费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30702</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国外债务付息</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30103</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奖金</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30203</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咨询费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资本性支出</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30106</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伙食补助费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30204</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手续费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31001</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房屋建筑物购建</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30107</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绩效工资</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30205</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水费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31002</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办公设备购置</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294"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30108</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w:t>
            </w:r>
            <w:r>
              <w:rPr>
                <w:rFonts w:hint="eastAsia" w:ascii="宋体" w:hAnsi="宋体" w:eastAsia="宋体" w:cs="宋体"/>
                <w:color w:val="000000"/>
                <w:kern w:val="0"/>
                <w:sz w:val="15"/>
                <w:szCs w:val="15"/>
                <w:lang w:bidi="ar"/>
              </w:rPr>
              <w:t>机关事业单位基本养老保险缴费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30206</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电费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31003</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专用设备购置</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30109</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职业年金缴费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30207</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邮电费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31005</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基础设施建设</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30110</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职工基本医疗保险缴费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30208</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取暖费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31006</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大型修缮</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30111</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公务员医疗补助缴费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30209</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物业管理费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31007</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信息网络及软件购置更新</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30112</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其他社会保障缴费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30211</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差旅费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31008</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物资储备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30113</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住房公积金</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30212</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16"/>
                <w:szCs w:val="16"/>
                <w:lang w:bidi="ar"/>
              </w:rPr>
              <w:t xml:space="preserve">  因公出国（境）费用</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31009</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土地补偿</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30114</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医疗费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30213</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维修（护）费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31010</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安置补助</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30199</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其他工资福利支出</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30214</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租赁费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31011</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地上附着物和青苗补偿</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对个人和家庭的补助</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30215</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会议费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31012</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拆迁补偿</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30301</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离休费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30216</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培训费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31013</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公务用车购置</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30302</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退休费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30217</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公务接待费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31019</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其他交通工具购置</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30303</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退职（役）费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30218</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专用材料费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31021</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文物和陈列品购置</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30304</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抚恤金</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30224</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被装购置费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31022</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无形资产购置</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30305</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生活补助</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30225</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专用燃料费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31099</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其他资本性支出</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30306</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救济费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30226</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劳务费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214" w:leftChars="102"/>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其他支出</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30307</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医疗费补助</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30227</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委托业务费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39907</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国家赔偿费用支出</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462"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30308</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助学金</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30228</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工会经费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39908</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对民间非营利组织和群众性自治组织补贴</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30309</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奖励金</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30229</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福利费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39909</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经常性赠与</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30310</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个人农业生产补贴</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30231</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w:t>
            </w:r>
            <w:r>
              <w:rPr>
                <w:rFonts w:hint="eastAsia" w:ascii="宋体" w:hAnsi="宋体" w:eastAsia="宋体" w:cs="宋体"/>
                <w:color w:val="000000"/>
                <w:kern w:val="0"/>
                <w:sz w:val="16"/>
                <w:szCs w:val="16"/>
                <w:lang w:bidi="ar"/>
              </w:rPr>
              <w:t xml:space="preserve"> 公务用车运行维护费</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39910</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资本性赠与</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3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30311</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代缴社会保险费</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30239</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其他交通费用</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39999</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其他支出</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29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30399</w:t>
            </w: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其他对个人和家庭的补助</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30240</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税金及附加费用</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18"/>
              </w:rPr>
            </w:pP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230"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4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30299</w:t>
            </w:r>
          </w:p>
        </w:tc>
        <w:tc>
          <w:tcPr>
            <w:tcW w:w="18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w:t>
            </w:r>
            <w:r>
              <w:rPr>
                <w:rFonts w:hint="eastAsia" w:ascii="宋体" w:hAnsi="宋体" w:eastAsia="宋体" w:cs="宋体"/>
                <w:color w:val="000000"/>
                <w:kern w:val="0"/>
                <w:sz w:val="16"/>
                <w:szCs w:val="16"/>
                <w:lang w:bidi="ar"/>
              </w:rPr>
              <w:t xml:space="preserve"> 其他商品和服务支出</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18"/>
              </w:rPr>
            </w:pP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r>
      <w:tr>
        <w:tblPrEx>
          <w:tblCellMar>
            <w:top w:w="15" w:type="dxa"/>
            <w:left w:w="15" w:type="dxa"/>
            <w:bottom w:w="15" w:type="dxa"/>
            <w:right w:w="15" w:type="dxa"/>
          </w:tblCellMar>
        </w:tblPrEx>
        <w:trPr>
          <w:trHeight w:val="343" w:hRule="atLeast"/>
          <w:jc w:val="center"/>
        </w:trPr>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人员经费合计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63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公用经费合计</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18"/>
              </w:rPr>
            </w:pPr>
          </w:p>
        </w:tc>
      </w:tr>
    </w:tbl>
    <w:p>
      <w:pPr>
        <w:sectPr>
          <w:pgSz w:w="11906" w:h="16838"/>
          <w:pgMar w:top="1474" w:right="1474" w:bottom="1474" w:left="1474" w:header="851" w:footer="992" w:gutter="0"/>
          <w:cols w:space="0" w:num="1"/>
          <w:docGrid w:type="lines" w:linePitch="312" w:charSpace="0"/>
        </w:sectPr>
      </w:pPr>
      <w:r>
        <w:rPr>
          <w:rFonts w:hint="eastAsia" w:ascii="宋体" w:hAnsi="宋体" w:cs="宋体"/>
          <w:color w:val="000000"/>
          <w:kern w:val="0"/>
          <w:sz w:val="24"/>
          <w:szCs w:val="24"/>
          <w:lang w:bidi="ar"/>
        </w:rPr>
        <w:t>注：本表反映</w:t>
      </w:r>
      <w:r>
        <w:rPr>
          <w:rFonts w:hint="eastAsia" w:ascii="宋体" w:hAnsi="宋体" w:cs="宋体"/>
          <w:color w:val="000000"/>
          <w:kern w:val="0"/>
          <w:sz w:val="24"/>
          <w:szCs w:val="24"/>
          <w:lang w:eastAsia="zh-CN" w:bidi="ar"/>
        </w:rPr>
        <w:t>单位</w:t>
      </w:r>
      <w:r>
        <w:rPr>
          <w:rFonts w:hint="eastAsia" w:ascii="宋体" w:hAnsi="宋体" w:cs="宋体"/>
          <w:color w:val="000000"/>
          <w:kern w:val="0"/>
          <w:sz w:val="24"/>
          <w:szCs w:val="24"/>
          <w:lang w:bidi="ar"/>
        </w:rPr>
        <w:t>本年度一般公共预算财政拨款基本支出明细情况。本单位本年度无一般公共预算财政拨款基本支出，按要求以空表列示。</w:t>
      </w:r>
    </w:p>
    <w:tbl>
      <w:tblPr>
        <w:tblStyle w:val="6"/>
        <w:tblW w:w="10350" w:type="dxa"/>
        <w:jc w:val="center"/>
        <w:tblLayout w:type="fixed"/>
        <w:tblCellMar>
          <w:top w:w="15" w:type="dxa"/>
          <w:left w:w="15" w:type="dxa"/>
          <w:bottom w:w="15" w:type="dxa"/>
          <w:right w:w="15" w:type="dxa"/>
        </w:tblCellMar>
      </w:tblPr>
      <w:tblGrid>
        <w:gridCol w:w="555"/>
        <w:gridCol w:w="1080"/>
        <w:gridCol w:w="1321"/>
        <w:gridCol w:w="1996"/>
        <w:gridCol w:w="1080"/>
        <w:gridCol w:w="1080"/>
        <w:gridCol w:w="1080"/>
        <w:gridCol w:w="1081"/>
        <w:gridCol w:w="1077"/>
      </w:tblGrid>
      <w:tr>
        <w:tblPrEx>
          <w:tblCellMar>
            <w:top w:w="15" w:type="dxa"/>
            <w:left w:w="15" w:type="dxa"/>
            <w:bottom w:w="15" w:type="dxa"/>
            <w:right w:w="15" w:type="dxa"/>
          </w:tblCellMar>
        </w:tblPrEx>
        <w:trPr>
          <w:trHeight w:val="600" w:hRule="atLeast"/>
          <w:jc w:val="center"/>
        </w:trPr>
        <w:tc>
          <w:tcPr>
            <w:tcW w:w="10350" w:type="dxa"/>
            <w:gridSpan w:val="9"/>
            <w:shd w:val="clear" w:color="auto" w:fill="FFFFFF"/>
            <w:vAlign w:val="center"/>
          </w:tcPr>
          <w:p>
            <w:pPr>
              <w:widowControl/>
              <w:jc w:val="center"/>
              <w:textAlignment w:val="center"/>
              <w:rPr>
                <w:rFonts w:ascii="华文中宋" w:hAnsi="华文中宋" w:eastAsia="华文中宋" w:cs="华文中宋"/>
                <w:b/>
                <w:bCs/>
                <w:color w:val="000000"/>
                <w:sz w:val="32"/>
                <w:szCs w:val="32"/>
              </w:rPr>
            </w:pPr>
            <w:r>
              <w:rPr>
                <w:rFonts w:hint="eastAsia" w:ascii="华文中宋" w:hAnsi="华文中宋" w:eastAsia="华文中宋" w:cs="华文中宋"/>
                <w:b/>
                <w:bCs/>
                <w:color w:val="000000"/>
                <w:kern w:val="0"/>
                <w:sz w:val="32"/>
                <w:szCs w:val="32"/>
                <w:lang w:bidi="ar"/>
              </w:rPr>
              <w:t>政府性基金预算财政拨款收入支出决算表</w:t>
            </w:r>
          </w:p>
        </w:tc>
      </w:tr>
      <w:tr>
        <w:tblPrEx>
          <w:tblCellMar>
            <w:top w:w="15" w:type="dxa"/>
            <w:left w:w="15" w:type="dxa"/>
            <w:bottom w:w="15" w:type="dxa"/>
            <w:right w:w="15" w:type="dxa"/>
          </w:tblCellMar>
        </w:tblPrEx>
        <w:trPr>
          <w:trHeight w:val="211" w:hRule="atLeast"/>
          <w:jc w:val="center"/>
        </w:trPr>
        <w:tc>
          <w:tcPr>
            <w:tcW w:w="555" w:type="dxa"/>
            <w:shd w:val="clear" w:color="auto" w:fill="FFFFFF"/>
            <w:vAlign w:val="center"/>
          </w:tcPr>
          <w:p>
            <w:pPr>
              <w:jc w:val="center"/>
              <w:rPr>
                <w:rFonts w:ascii="宋体" w:hAnsi="宋体" w:eastAsia="宋体" w:cs="宋体"/>
                <w:color w:val="000000"/>
                <w:sz w:val="20"/>
                <w:szCs w:val="20"/>
              </w:rPr>
            </w:pPr>
          </w:p>
        </w:tc>
        <w:tc>
          <w:tcPr>
            <w:tcW w:w="1080" w:type="dxa"/>
            <w:shd w:val="clear" w:color="auto" w:fill="FFFFFF"/>
            <w:vAlign w:val="center"/>
          </w:tcPr>
          <w:p>
            <w:pPr>
              <w:jc w:val="center"/>
              <w:rPr>
                <w:rFonts w:ascii="宋体" w:hAnsi="宋体" w:eastAsia="宋体" w:cs="宋体"/>
                <w:color w:val="000000"/>
                <w:sz w:val="20"/>
                <w:szCs w:val="20"/>
              </w:rPr>
            </w:pPr>
          </w:p>
        </w:tc>
        <w:tc>
          <w:tcPr>
            <w:tcW w:w="1321" w:type="dxa"/>
            <w:shd w:val="clear" w:color="auto" w:fill="FFFFFF"/>
            <w:vAlign w:val="center"/>
          </w:tcPr>
          <w:p>
            <w:pPr>
              <w:jc w:val="center"/>
              <w:rPr>
                <w:rFonts w:ascii="宋体" w:hAnsi="宋体" w:eastAsia="宋体" w:cs="宋体"/>
                <w:color w:val="000000"/>
                <w:sz w:val="20"/>
                <w:szCs w:val="20"/>
              </w:rPr>
            </w:pPr>
          </w:p>
        </w:tc>
        <w:tc>
          <w:tcPr>
            <w:tcW w:w="1996" w:type="dxa"/>
            <w:shd w:val="clear" w:color="auto" w:fill="auto"/>
            <w:vAlign w:val="bottom"/>
          </w:tcPr>
          <w:p>
            <w:pPr>
              <w:rPr>
                <w:rFonts w:ascii="宋体" w:hAnsi="宋体" w:eastAsia="宋体" w:cs="宋体"/>
                <w:color w:val="000000"/>
                <w:sz w:val="24"/>
              </w:rPr>
            </w:pPr>
          </w:p>
        </w:tc>
        <w:tc>
          <w:tcPr>
            <w:tcW w:w="1080" w:type="dxa"/>
            <w:shd w:val="clear" w:color="auto" w:fill="auto"/>
            <w:vAlign w:val="bottom"/>
          </w:tcPr>
          <w:p>
            <w:pPr>
              <w:rPr>
                <w:rFonts w:ascii="宋体" w:hAnsi="宋体" w:eastAsia="宋体" w:cs="宋体"/>
                <w:color w:val="000000"/>
                <w:sz w:val="24"/>
              </w:rPr>
            </w:pPr>
          </w:p>
        </w:tc>
        <w:tc>
          <w:tcPr>
            <w:tcW w:w="1080" w:type="dxa"/>
            <w:shd w:val="clear" w:color="auto" w:fill="auto"/>
            <w:vAlign w:val="bottom"/>
          </w:tcPr>
          <w:p>
            <w:pPr>
              <w:rPr>
                <w:rFonts w:ascii="宋体" w:hAnsi="宋体" w:eastAsia="宋体" w:cs="宋体"/>
                <w:color w:val="000000"/>
                <w:sz w:val="24"/>
              </w:rPr>
            </w:pPr>
          </w:p>
        </w:tc>
        <w:tc>
          <w:tcPr>
            <w:tcW w:w="1080" w:type="dxa"/>
            <w:shd w:val="clear" w:color="auto" w:fill="auto"/>
            <w:vAlign w:val="bottom"/>
          </w:tcPr>
          <w:p>
            <w:pPr>
              <w:rPr>
                <w:rFonts w:ascii="宋体" w:hAnsi="宋体" w:eastAsia="宋体" w:cs="宋体"/>
                <w:color w:val="000000"/>
                <w:sz w:val="24"/>
              </w:rPr>
            </w:pPr>
          </w:p>
        </w:tc>
        <w:tc>
          <w:tcPr>
            <w:tcW w:w="1081" w:type="dxa"/>
            <w:shd w:val="clear" w:color="auto" w:fill="auto"/>
            <w:vAlign w:val="bottom"/>
          </w:tcPr>
          <w:p>
            <w:pPr>
              <w:rPr>
                <w:rFonts w:ascii="宋体" w:hAnsi="宋体" w:eastAsia="宋体" w:cs="宋体"/>
                <w:color w:val="000000"/>
                <w:sz w:val="24"/>
              </w:rPr>
            </w:pPr>
          </w:p>
        </w:tc>
        <w:tc>
          <w:tcPr>
            <w:tcW w:w="1077" w:type="dxa"/>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公开07表</w:t>
            </w:r>
          </w:p>
        </w:tc>
      </w:tr>
      <w:tr>
        <w:tblPrEx>
          <w:tblCellMar>
            <w:top w:w="15" w:type="dxa"/>
            <w:left w:w="15" w:type="dxa"/>
            <w:bottom w:w="15" w:type="dxa"/>
            <w:right w:w="15" w:type="dxa"/>
          </w:tblCellMar>
        </w:tblPrEx>
        <w:trPr>
          <w:trHeight w:val="301" w:hRule="atLeast"/>
          <w:jc w:val="center"/>
        </w:trPr>
        <w:tc>
          <w:tcPr>
            <w:tcW w:w="555" w:type="dxa"/>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单位</w:t>
            </w:r>
            <w:r>
              <w:rPr>
                <w:rFonts w:hint="eastAsia" w:ascii="宋体" w:hAnsi="宋体" w:eastAsia="宋体" w:cs="宋体"/>
                <w:color w:val="000000"/>
                <w:kern w:val="0"/>
                <w:sz w:val="20"/>
                <w:szCs w:val="20"/>
                <w:lang w:bidi="ar"/>
              </w:rPr>
              <w:t>：</w:t>
            </w:r>
          </w:p>
        </w:tc>
        <w:tc>
          <w:tcPr>
            <w:tcW w:w="2401" w:type="dxa"/>
            <w:gridSpan w:val="2"/>
            <w:shd w:val="clear" w:color="auto" w:fill="FFFFFF"/>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lang w:eastAsia="zh-CN"/>
              </w:rPr>
              <w:t>石家庄循环化工园区医院</w:t>
            </w:r>
          </w:p>
        </w:tc>
        <w:tc>
          <w:tcPr>
            <w:tcW w:w="1996" w:type="dxa"/>
            <w:shd w:val="clear" w:color="auto" w:fill="FFFFFF"/>
            <w:vAlign w:val="center"/>
          </w:tcPr>
          <w:p>
            <w:pPr>
              <w:rPr>
                <w:rFonts w:ascii="宋体" w:hAnsi="宋体" w:eastAsia="宋体" w:cs="宋体"/>
                <w:color w:val="000000"/>
                <w:sz w:val="20"/>
                <w:szCs w:val="20"/>
              </w:rPr>
            </w:pPr>
          </w:p>
        </w:tc>
        <w:tc>
          <w:tcPr>
            <w:tcW w:w="1080" w:type="dxa"/>
            <w:shd w:val="clear" w:color="auto" w:fill="FFFFFF"/>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2023年度</w:t>
            </w:r>
          </w:p>
        </w:tc>
        <w:tc>
          <w:tcPr>
            <w:tcW w:w="1080" w:type="dxa"/>
            <w:shd w:val="clear" w:color="auto" w:fill="FFFFFF"/>
            <w:vAlign w:val="center"/>
          </w:tcPr>
          <w:p>
            <w:pPr>
              <w:rPr>
                <w:rFonts w:ascii="宋体" w:hAnsi="宋体" w:eastAsia="宋体" w:cs="宋体"/>
                <w:color w:val="000000"/>
                <w:sz w:val="20"/>
                <w:szCs w:val="20"/>
              </w:rPr>
            </w:pPr>
          </w:p>
        </w:tc>
        <w:tc>
          <w:tcPr>
            <w:tcW w:w="1080" w:type="dxa"/>
            <w:shd w:val="clear" w:color="auto" w:fill="FFFFFF"/>
            <w:vAlign w:val="center"/>
          </w:tcPr>
          <w:p>
            <w:pPr>
              <w:rPr>
                <w:rFonts w:ascii="宋体" w:hAnsi="宋体" w:eastAsia="宋体" w:cs="宋体"/>
                <w:color w:val="000000"/>
                <w:sz w:val="20"/>
                <w:szCs w:val="20"/>
              </w:rPr>
            </w:pPr>
          </w:p>
        </w:tc>
        <w:tc>
          <w:tcPr>
            <w:tcW w:w="2158" w:type="dxa"/>
            <w:gridSpan w:val="2"/>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金额</w:t>
            </w:r>
            <w:r>
              <w:rPr>
                <w:rFonts w:hint="eastAsia" w:ascii="宋体" w:hAnsi="宋体" w:eastAsia="宋体" w:cs="宋体"/>
                <w:color w:val="000000"/>
                <w:kern w:val="0"/>
                <w:sz w:val="20"/>
                <w:szCs w:val="20"/>
                <w:lang w:bidi="ar"/>
              </w:rPr>
              <w:t>单位：万元</w:t>
            </w:r>
          </w:p>
        </w:tc>
      </w:tr>
      <w:tr>
        <w:tblPrEx>
          <w:tblCellMar>
            <w:top w:w="15" w:type="dxa"/>
            <w:left w:w="15" w:type="dxa"/>
            <w:bottom w:w="15" w:type="dxa"/>
            <w:right w:w="15" w:type="dxa"/>
          </w:tblCellMar>
        </w:tblPrEx>
        <w:trPr>
          <w:trHeight w:val="405" w:hRule="atLeast"/>
          <w:jc w:val="center"/>
        </w:trPr>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 xml:space="preserve">项 </w:t>
            </w:r>
            <w:r>
              <w:rPr>
                <w:rFonts w:hint="eastAsia" w:ascii="宋体" w:hAnsi="宋体" w:eastAsia="宋体" w:cs="宋体"/>
                <w:b/>
                <w:bCs/>
                <w:color w:val="000000"/>
                <w:kern w:val="0"/>
                <w:sz w:val="22"/>
                <w:lang w:bidi="ar"/>
              </w:rPr>
              <w:t xml:space="preserve">   </w:t>
            </w:r>
            <w:r>
              <w:rPr>
                <w:rStyle w:val="16"/>
                <w:rFonts w:hint="default"/>
                <w:b/>
                <w:bCs/>
                <w:lang w:bidi="ar"/>
              </w:rPr>
              <w:t>目</w:t>
            </w:r>
          </w:p>
        </w:tc>
        <w:tc>
          <w:tcPr>
            <w:tcW w:w="1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年初结转和结余</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本年收入</w:t>
            </w:r>
          </w:p>
        </w:tc>
        <w:tc>
          <w:tcPr>
            <w:tcW w:w="32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本年支出</w:t>
            </w:r>
          </w:p>
        </w:tc>
        <w:tc>
          <w:tcPr>
            <w:tcW w:w="10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年末结转和结余</w:t>
            </w:r>
          </w:p>
        </w:tc>
      </w:tr>
      <w:tr>
        <w:tblPrEx>
          <w:tblCellMar>
            <w:top w:w="15" w:type="dxa"/>
            <w:left w:w="15" w:type="dxa"/>
            <w:bottom w:w="15" w:type="dxa"/>
            <w:right w:w="15" w:type="dxa"/>
          </w:tblCellMar>
        </w:tblPrEx>
        <w:trPr>
          <w:trHeight w:val="540" w:hRule="atLeast"/>
          <w:jc w:val="center"/>
        </w:trPr>
        <w:tc>
          <w:tcPr>
            <w:tcW w:w="16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科目代码</w:t>
            </w:r>
          </w:p>
        </w:tc>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科目名称</w:t>
            </w:r>
          </w:p>
        </w:tc>
        <w:tc>
          <w:tcPr>
            <w:tcW w:w="1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小计</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 xml:space="preserve">基本支出  </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项目支出</w:t>
            </w:r>
          </w:p>
        </w:tc>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r>
      <w:tr>
        <w:tblPrEx>
          <w:tblCellMar>
            <w:top w:w="15" w:type="dxa"/>
            <w:left w:w="15" w:type="dxa"/>
            <w:bottom w:w="15" w:type="dxa"/>
            <w:right w:w="15" w:type="dxa"/>
          </w:tblCellMar>
        </w:tblPrEx>
        <w:trPr>
          <w:trHeight w:val="360" w:hRule="atLeast"/>
          <w:jc w:val="center"/>
        </w:trPr>
        <w:tc>
          <w:tcPr>
            <w:tcW w:w="16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6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栏次</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4</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6</w:t>
            </w:r>
          </w:p>
        </w:tc>
      </w:tr>
      <w:tr>
        <w:tblPrEx>
          <w:tblCellMar>
            <w:top w:w="15" w:type="dxa"/>
            <w:left w:w="15" w:type="dxa"/>
            <w:bottom w:w="15" w:type="dxa"/>
            <w:right w:w="15" w:type="dxa"/>
          </w:tblCellMar>
        </w:tblPrEx>
        <w:trPr>
          <w:trHeight w:val="450" w:hRule="atLeast"/>
          <w:jc w:val="center"/>
        </w:trPr>
        <w:tc>
          <w:tcPr>
            <w:tcW w:w="29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合计</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jc w:val="center"/>
        </w:trPr>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645" w:hRule="atLeast"/>
          <w:jc w:val="center"/>
        </w:trPr>
        <w:tc>
          <w:tcPr>
            <w:tcW w:w="10350" w:type="dxa"/>
            <w:gridSpan w:val="9"/>
            <w:shd w:val="clear" w:color="auto" w:fill="auto"/>
            <w:vAlign w:val="center"/>
          </w:tcPr>
          <w:p>
            <w:pPr>
              <w:keepNext w:val="0"/>
              <w:keepLines w:val="0"/>
              <w:widowControl/>
              <w:suppressLineNumbers w:val="0"/>
              <w:jc w:val="left"/>
            </w:pPr>
            <w:r>
              <w:rPr>
                <w:rFonts w:hint="eastAsia" w:ascii="宋体" w:hAnsi="宋体" w:eastAsia="宋体" w:cs="宋体"/>
                <w:color w:val="000000"/>
                <w:kern w:val="0"/>
                <w:sz w:val="24"/>
                <w:szCs w:val="24"/>
                <w:lang w:bidi="ar"/>
              </w:rPr>
              <w:t>注：本表反映</w:t>
            </w:r>
            <w:r>
              <w:rPr>
                <w:rFonts w:hint="eastAsia" w:ascii="宋体" w:hAnsi="宋体" w:eastAsia="宋体" w:cs="宋体"/>
                <w:color w:val="000000"/>
                <w:kern w:val="0"/>
                <w:sz w:val="24"/>
                <w:szCs w:val="24"/>
                <w:lang w:eastAsia="zh-CN" w:bidi="ar"/>
              </w:rPr>
              <w:t>单位</w:t>
            </w:r>
            <w:r>
              <w:rPr>
                <w:rFonts w:hint="eastAsia" w:ascii="宋体" w:hAnsi="宋体" w:eastAsia="宋体" w:cs="宋体"/>
                <w:color w:val="000000"/>
                <w:kern w:val="0"/>
                <w:sz w:val="24"/>
                <w:szCs w:val="24"/>
                <w:lang w:bidi="ar"/>
              </w:rPr>
              <w:t>本年度政府性基金预算财政拨款收入、支出及结转和结余情况。</w:t>
            </w:r>
            <w:r>
              <w:rPr>
                <w:rFonts w:hint="eastAsia" w:ascii="宋体" w:hAnsi="宋体" w:eastAsia="宋体" w:cs="宋体"/>
                <w:color w:val="000000"/>
                <w:kern w:val="0"/>
                <w:sz w:val="24"/>
                <w:szCs w:val="24"/>
                <w:lang w:val="en-US" w:eastAsia="zh-CN" w:bidi="ar"/>
              </w:rPr>
              <w:t xml:space="preserve">本单位本年度无 </w:t>
            </w:r>
          </w:p>
          <w:p>
            <w:pPr>
              <w:keepNext w:val="0"/>
              <w:keepLines w:val="0"/>
              <w:widowControl/>
              <w:suppressLineNumbers w:val="0"/>
              <w:jc w:val="left"/>
              <w:rPr>
                <w:rFonts w:ascii="宋体" w:hAnsi="宋体" w:eastAsia="宋体" w:cs="宋体"/>
                <w:color w:val="000000"/>
                <w:sz w:val="24"/>
              </w:rPr>
            </w:pPr>
            <w:r>
              <w:rPr>
                <w:rFonts w:hint="eastAsia" w:ascii="宋体" w:hAnsi="宋体" w:eastAsia="宋体" w:cs="宋体"/>
                <w:color w:val="000000"/>
                <w:kern w:val="0"/>
                <w:sz w:val="24"/>
                <w:szCs w:val="24"/>
                <w:lang w:val="en-US" w:eastAsia="zh-CN" w:bidi="ar"/>
              </w:rPr>
              <w:t>政府性基金预算财政拨款收支及结转结余情况，按要求以空表列示。</w:t>
            </w:r>
          </w:p>
        </w:tc>
      </w:tr>
    </w:tbl>
    <w:p>
      <w:pPr>
        <w:sectPr>
          <w:pgSz w:w="11906" w:h="16838"/>
          <w:pgMar w:top="1474" w:right="1474" w:bottom="1474" w:left="1474" w:header="851" w:footer="992" w:gutter="0"/>
          <w:cols w:space="0" w:num="1"/>
          <w:docGrid w:type="lines" w:linePitch="312" w:charSpace="0"/>
        </w:sectPr>
      </w:pPr>
    </w:p>
    <w:tbl>
      <w:tblPr>
        <w:tblStyle w:val="6"/>
        <w:tblW w:w="10422" w:type="dxa"/>
        <w:jc w:val="center"/>
        <w:tblLayout w:type="fixed"/>
        <w:tblCellMar>
          <w:top w:w="15" w:type="dxa"/>
          <w:left w:w="15" w:type="dxa"/>
          <w:bottom w:w="15" w:type="dxa"/>
          <w:right w:w="15" w:type="dxa"/>
        </w:tblCellMar>
      </w:tblPr>
      <w:tblGrid>
        <w:gridCol w:w="1016"/>
        <w:gridCol w:w="176"/>
        <w:gridCol w:w="819"/>
        <w:gridCol w:w="1056"/>
        <w:gridCol w:w="2419"/>
        <w:gridCol w:w="762"/>
        <w:gridCol w:w="1036"/>
        <w:gridCol w:w="977"/>
        <w:gridCol w:w="2161"/>
      </w:tblGrid>
      <w:tr>
        <w:tblPrEx>
          <w:tblCellMar>
            <w:top w:w="15" w:type="dxa"/>
            <w:left w:w="15" w:type="dxa"/>
            <w:bottom w:w="15" w:type="dxa"/>
            <w:right w:w="15" w:type="dxa"/>
          </w:tblCellMar>
        </w:tblPrEx>
        <w:trPr>
          <w:trHeight w:val="720" w:hRule="atLeast"/>
          <w:jc w:val="center"/>
        </w:trPr>
        <w:tc>
          <w:tcPr>
            <w:tcW w:w="10422" w:type="dxa"/>
            <w:gridSpan w:val="9"/>
            <w:shd w:val="clear" w:color="auto" w:fill="FFFFFF"/>
            <w:vAlign w:val="center"/>
          </w:tcPr>
          <w:p>
            <w:pPr>
              <w:widowControl/>
              <w:jc w:val="center"/>
              <w:textAlignment w:val="center"/>
              <w:rPr>
                <w:rFonts w:ascii="华文中宋" w:hAnsi="华文中宋" w:eastAsia="华文中宋" w:cs="华文中宋"/>
                <w:b/>
                <w:bCs/>
                <w:color w:val="000000"/>
                <w:sz w:val="32"/>
                <w:szCs w:val="32"/>
              </w:rPr>
            </w:pPr>
            <w:r>
              <w:rPr>
                <w:rFonts w:hint="eastAsia" w:ascii="华文中宋" w:hAnsi="华文中宋" w:eastAsia="华文中宋" w:cs="华文中宋"/>
                <w:b/>
                <w:bCs/>
                <w:color w:val="000000"/>
                <w:kern w:val="0"/>
                <w:sz w:val="32"/>
                <w:szCs w:val="32"/>
                <w:lang w:bidi="ar"/>
              </w:rPr>
              <w:t>国有资本经营预算财政拨款支出决算表</w:t>
            </w:r>
          </w:p>
        </w:tc>
      </w:tr>
      <w:tr>
        <w:tblPrEx>
          <w:tblCellMar>
            <w:top w:w="15" w:type="dxa"/>
            <w:left w:w="15" w:type="dxa"/>
            <w:bottom w:w="15" w:type="dxa"/>
            <w:right w:w="15" w:type="dxa"/>
          </w:tblCellMar>
        </w:tblPrEx>
        <w:trPr>
          <w:trHeight w:val="286" w:hRule="atLeast"/>
          <w:jc w:val="center"/>
        </w:trPr>
        <w:tc>
          <w:tcPr>
            <w:tcW w:w="1016" w:type="dxa"/>
            <w:shd w:val="clear" w:color="auto" w:fill="FFFFFF"/>
            <w:vAlign w:val="center"/>
          </w:tcPr>
          <w:p>
            <w:pPr>
              <w:jc w:val="center"/>
              <w:rPr>
                <w:rFonts w:ascii="宋体" w:hAnsi="宋体" w:eastAsia="宋体" w:cs="宋体"/>
                <w:color w:val="000000"/>
                <w:sz w:val="20"/>
                <w:szCs w:val="20"/>
              </w:rPr>
            </w:pPr>
          </w:p>
        </w:tc>
        <w:tc>
          <w:tcPr>
            <w:tcW w:w="995" w:type="dxa"/>
            <w:gridSpan w:val="2"/>
            <w:shd w:val="clear" w:color="auto" w:fill="FFFFFF"/>
            <w:vAlign w:val="center"/>
          </w:tcPr>
          <w:p>
            <w:pPr>
              <w:jc w:val="center"/>
              <w:rPr>
                <w:rFonts w:ascii="宋体" w:hAnsi="宋体" w:eastAsia="宋体" w:cs="宋体"/>
                <w:color w:val="000000"/>
                <w:sz w:val="20"/>
                <w:szCs w:val="20"/>
              </w:rPr>
            </w:pPr>
          </w:p>
        </w:tc>
        <w:tc>
          <w:tcPr>
            <w:tcW w:w="1056" w:type="dxa"/>
            <w:shd w:val="clear" w:color="auto" w:fill="FFFFFF"/>
            <w:vAlign w:val="center"/>
          </w:tcPr>
          <w:p>
            <w:pPr>
              <w:jc w:val="center"/>
              <w:rPr>
                <w:rFonts w:ascii="宋体" w:hAnsi="宋体" w:eastAsia="宋体" w:cs="宋体"/>
                <w:color w:val="000000"/>
                <w:sz w:val="20"/>
                <w:szCs w:val="20"/>
              </w:rPr>
            </w:pPr>
          </w:p>
        </w:tc>
        <w:tc>
          <w:tcPr>
            <w:tcW w:w="3181" w:type="dxa"/>
            <w:gridSpan w:val="2"/>
            <w:shd w:val="clear" w:color="auto" w:fill="FFFFFF"/>
            <w:vAlign w:val="center"/>
          </w:tcPr>
          <w:p>
            <w:pPr>
              <w:rPr>
                <w:rFonts w:ascii="宋体" w:hAnsi="宋体" w:eastAsia="宋体" w:cs="宋体"/>
                <w:color w:val="000000"/>
                <w:sz w:val="20"/>
                <w:szCs w:val="20"/>
              </w:rPr>
            </w:pPr>
          </w:p>
        </w:tc>
        <w:tc>
          <w:tcPr>
            <w:tcW w:w="1036" w:type="dxa"/>
            <w:shd w:val="clear" w:color="auto" w:fill="FFFFFF"/>
            <w:vAlign w:val="center"/>
          </w:tcPr>
          <w:p>
            <w:pPr>
              <w:rPr>
                <w:rFonts w:ascii="宋体" w:hAnsi="宋体" w:eastAsia="宋体" w:cs="宋体"/>
                <w:color w:val="000000"/>
                <w:sz w:val="20"/>
                <w:szCs w:val="20"/>
              </w:rPr>
            </w:pPr>
          </w:p>
        </w:tc>
        <w:tc>
          <w:tcPr>
            <w:tcW w:w="3138" w:type="dxa"/>
            <w:gridSpan w:val="2"/>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公开08表</w:t>
            </w:r>
          </w:p>
        </w:tc>
      </w:tr>
      <w:tr>
        <w:tblPrEx>
          <w:tblCellMar>
            <w:top w:w="15" w:type="dxa"/>
            <w:left w:w="15" w:type="dxa"/>
            <w:bottom w:w="15" w:type="dxa"/>
            <w:right w:w="15" w:type="dxa"/>
          </w:tblCellMar>
        </w:tblPrEx>
        <w:trPr>
          <w:trHeight w:val="286" w:hRule="atLeast"/>
          <w:jc w:val="center"/>
        </w:trPr>
        <w:tc>
          <w:tcPr>
            <w:tcW w:w="3067" w:type="dxa"/>
            <w:gridSpan w:val="4"/>
            <w:shd w:val="clear" w:color="auto" w:fill="FFFFFF"/>
            <w:vAlign w:val="center"/>
          </w:tcPr>
          <w:p>
            <w:pPr>
              <w:jc w:val="left"/>
              <w:rPr>
                <w:rFonts w:hint="eastAsia" w:ascii="宋体" w:hAnsi="宋体" w:eastAsia="宋体" w:cs="宋体"/>
                <w:color w:val="000000"/>
                <w:sz w:val="20"/>
                <w:szCs w:val="20"/>
                <w:lang w:eastAsia="zh-CN"/>
              </w:rPr>
            </w:pPr>
            <w:r>
              <w:rPr>
                <w:rFonts w:hint="eastAsia" w:ascii="宋体" w:hAnsi="宋体" w:eastAsia="宋体" w:cs="宋体"/>
                <w:color w:val="000000"/>
                <w:kern w:val="0"/>
                <w:sz w:val="20"/>
                <w:szCs w:val="20"/>
                <w:lang w:eastAsia="zh-CN" w:bidi="ar"/>
              </w:rPr>
              <w:t>单位</w:t>
            </w: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eastAsia="zh-CN" w:bidi="ar"/>
              </w:rPr>
              <w:t>石家庄循环化工园区医院</w:t>
            </w:r>
          </w:p>
        </w:tc>
        <w:tc>
          <w:tcPr>
            <w:tcW w:w="3181" w:type="dxa"/>
            <w:gridSpan w:val="2"/>
            <w:shd w:val="clear" w:color="auto" w:fill="FFFFFF"/>
            <w:vAlign w:val="center"/>
          </w:tcPr>
          <w:p>
            <w:pPr>
              <w:ind w:firstLine="1800" w:firstLineChars="900"/>
              <w:rPr>
                <w:rFonts w:ascii="宋体" w:hAnsi="宋体" w:eastAsia="宋体" w:cs="宋体"/>
                <w:color w:val="000000"/>
                <w:sz w:val="20"/>
                <w:szCs w:val="20"/>
              </w:rPr>
            </w:pPr>
            <w:r>
              <w:rPr>
                <w:rFonts w:hint="eastAsia" w:ascii="宋体" w:hAnsi="宋体" w:eastAsia="宋体" w:cs="宋体"/>
                <w:color w:val="000000"/>
                <w:sz w:val="20"/>
                <w:szCs w:val="20"/>
              </w:rPr>
              <w:t>2023年度</w:t>
            </w:r>
          </w:p>
        </w:tc>
        <w:tc>
          <w:tcPr>
            <w:tcW w:w="1036" w:type="dxa"/>
            <w:shd w:val="clear" w:color="auto" w:fill="FFFFFF"/>
            <w:vAlign w:val="center"/>
          </w:tcPr>
          <w:p>
            <w:pPr>
              <w:rPr>
                <w:rFonts w:ascii="宋体" w:hAnsi="宋体" w:eastAsia="宋体" w:cs="宋体"/>
                <w:color w:val="000000"/>
                <w:sz w:val="20"/>
                <w:szCs w:val="20"/>
              </w:rPr>
            </w:pPr>
          </w:p>
        </w:tc>
        <w:tc>
          <w:tcPr>
            <w:tcW w:w="3138" w:type="dxa"/>
            <w:gridSpan w:val="2"/>
            <w:shd w:val="clear" w:color="auto" w:fill="FFFFFF"/>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金额</w:t>
            </w:r>
            <w:r>
              <w:rPr>
                <w:rFonts w:hint="eastAsia" w:ascii="宋体" w:hAnsi="宋体" w:eastAsia="宋体" w:cs="宋体"/>
                <w:color w:val="000000"/>
                <w:kern w:val="0"/>
                <w:sz w:val="20"/>
                <w:szCs w:val="20"/>
                <w:lang w:bidi="ar"/>
              </w:rPr>
              <w:t>单位：万元</w:t>
            </w:r>
          </w:p>
        </w:tc>
      </w:tr>
      <w:tr>
        <w:tblPrEx>
          <w:tblCellMar>
            <w:top w:w="15" w:type="dxa"/>
            <w:left w:w="15" w:type="dxa"/>
            <w:bottom w:w="15" w:type="dxa"/>
            <w:right w:w="15" w:type="dxa"/>
          </w:tblCellMar>
        </w:tblPrEx>
        <w:trPr>
          <w:trHeight w:val="390" w:hRule="atLeast"/>
          <w:jc w:val="center"/>
        </w:trPr>
        <w:tc>
          <w:tcPr>
            <w:tcW w:w="30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 xml:space="preserve">项 </w:t>
            </w:r>
            <w:r>
              <w:rPr>
                <w:rFonts w:hint="eastAsia" w:ascii="宋体" w:hAnsi="宋体" w:eastAsia="宋体" w:cs="宋体"/>
                <w:b/>
                <w:bCs/>
                <w:color w:val="000000"/>
                <w:kern w:val="0"/>
                <w:sz w:val="22"/>
                <w:lang w:bidi="ar"/>
              </w:rPr>
              <w:t xml:space="preserve">   </w:t>
            </w:r>
            <w:r>
              <w:rPr>
                <w:rFonts w:hint="eastAsia" w:ascii="宋体" w:hAnsi="宋体" w:eastAsia="宋体" w:cs="宋体"/>
                <w:b/>
                <w:bCs/>
                <w:color w:val="000000"/>
                <w:kern w:val="0"/>
                <w:sz w:val="24"/>
                <w:szCs w:val="24"/>
                <w:lang w:bidi="ar"/>
              </w:rPr>
              <w:t>目</w:t>
            </w:r>
          </w:p>
        </w:tc>
        <w:tc>
          <w:tcPr>
            <w:tcW w:w="7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本年支出</w:t>
            </w:r>
          </w:p>
        </w:tc>
      </w:tr>
      <w:tr>
        <w:tblPrEx>
          <w:tblCellMar>
            <w:top w:w="15" w:type="dxa"/>
            <w:left w:w="15" w:type="dxa"/>
            <w:bottom w:w="15" w:type="dxa"/>
            <w:right w:w="15" w:type="dxa"/>
          </w:tblCellMar>
        </w:tblPrEx>
        <w:trPr>
          <w:trHeight w:val="390" w:hRule="atLeast"/>
          <w:jc w:val="center"/>
        </w:trPr>
        <w:tc>
          <w:tcPr>
            <w:tcW w:w="11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科目代码</w:t>
            </w:r>
          </w:p>
        </w:tc>
        <w:tc>
          <w:tcPr>
            <w:tcW w:w="18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科目名称</w:t>
            </w:r>
          </w:p>
        </w:tc>
        <w:tc>
          <w:tcPr>
            <w:tcW w:w="24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合计</w:t>
            </w:r>
          </w:p>
        </w:tc>
        <w:tc>
          <w:tcPr>
            <w:tcW w:w="277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 xml:space="preserve">基本支出  </w:t>
            </w:r>
          </w:p>
        </w:tc>
        <w:tc>
          <w:tcPr>
            <w:tcW w:w="21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szCs w:val="24"/>
                <w:lang w:bidi="ar"/>
              </w:rPr>
              <w:t>项目支出</w:t>
            </w:r>
          </w:p>
        </w:tc>
      </w:tr>
      <w:tr>
        <w:tblPrEx>
          <w:tblCellMar>
            <w:top w:w="15" w:type="dxa"/>
            <w:left w:w="15" w:type="dxa"/>
            <w:bottom w:w="15" w:type="dxa"/>
            <w:right w:w="15" w:type="dxa"/>
          </w:tblCellMar>
        </w:tblPrEx>
        <w:trPr>
          <w:trHeight w:val="390" w:hRule="atLeast"/>
          <w:jc w:val="center"/>
        </w:trPr>
        <w:tc>
          <w:tcPr>
            <w:tcW w:w="11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4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77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312" w:hRule="atLeast"/>
          <w:jc w:val="center"/>
        </w:trPr>
        <w:tc>
          <w:tcPr>
            <w:tcW w:w="11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4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77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390" w:hRule="atLeast"/>
          <w:jc w:val="center"/>
        </w:trPr>
        <w:tc>
          <w:tcPr>
            <w:tcW w:w="30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栏次</w:t>
            </w:r>
          </w:p>
        </w:tc>
        <w:tc>
          <w:tcPr>
            <w:tcW w:w="24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1</w:t>
            </w: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2</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3</w:t>
            </w:r>
          </w:p>
        </w:tc>
      </w:tr>
      <w:tr>
        <w:tblPrEx>
          <w:tblCellMar>
            <w:top w:w="15" w:type="dxa"/>
            <w:left w:w="15" w:type="dxa"/>
            <w:bottom w:w="15" w:type="dxa"/>
            <w:right w:w="15" w:type="dxa"/>
          </w:tblCellMar>
        </w:tblPrEx>
        <w:trPr>
          <w:trHeight w:val="390" w:hRule="atLeast"/>
          <w:jc w:val="center"/>
        </w:trPr>
        <w:tc>
          <w:tcPr>
            <w:tcW w:w="30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szCs w:val="24"/>
                <w:lang w:bidi="ar"/>
              </w:rPr>
              <w:t>合计</w:t>
            </w:r>
          </w:p>
        </w:tc>
        <w:tc>
          <w:tcPr>
            <w:tcW w:w="24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390" w:hRule="atLeast"/>
          <w:jc w:val="center"/>
        </w:trPr>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4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390" w:hRule="atLeast"/>
          <w:jc w:val="center"/>
        </w:trPr>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4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390" w:hRule="atLeast"/>
          <w:jc w:val="center"/>
        </w:trPr>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4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390" w:hRule="atLeast"/>
          <w:jc w:val="center"/>
        </w:trPr>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4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390" w:hRule="atLeast"/>
          <w:jc w:val="center"/>
        </w:trPr>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4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390" w:hRule="atLeast"/>
          <w:jc w:val="center"/>
        </w:trPr>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4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15" w:type="dxa"/>
            <w:left w:w="15" w:type="dxa"/>
            <w:bottom w:w="15" w:type="dxa"/>
            <w:right w:w="15" w:type="dxa"/>
          </w:tblCellMar>
        </w:tblPrEx>
        <w:trPr>
          <w:trHeight w:val="720" w:hRule="atLeast"/>
          <w:jc w:val="center"/>
        </w:trPr>
        <w:tc>
          <w:tcPr>
            <w:tcW w:w="10422" w:type="dxa"/>
            <w:gridSpan w:val="9"/>
            <w:shd w:val="clear" w:color="auto" w:fill="auto"/>
            <w:vAlign w:val="center"/>
          </w:tcPr>
          <w:p>
            <w:pPr>
              <w:keepNext w:val="0"/>
              <w:keepLines w:val="0"/>
              <w:widowControl/>
              <w:suppressLineNumbers w:val="0"/>
              <w:jc w:val="left"/>
              <w:rPr>
                <w:b/>
              </w:rPr>
            </w:pPr>
            <w:r>
              <w:rPr>
                <w:rFonts w:hint="eastAsia" w:ascii="宋体" w:hAnsi="宋体" w:eastAsia="宋体" w:cs="宋体"/>
                <w:color w:val="000000"/>
                <w:kern w:val="0"/>
                <w:sz w:val="24"/>
                <w:szCs w:val="24"/>
                <w:lang w:bidi="ar"/>
              </w:rPr>
              <w:t>注：本表反映</w:t>
            </w:r>
            <w:r>
              <w:rPr>
                <w:rFonts w:hint="eastAsia" w:ascii="宋体" w:hAnsi="宋体" w:eastAsia="宋体" w:cs="宋体"/>
                <w:color w:val="000000"/>
                <w:kern w:val="0"/>
                <w:sz w:val="24"/>
                <w:szCs w:val="24"/>
                <w:lang w:eastAsia="zh-CN" w:bidi="ar"/>
              </w:rPr>
              <w:t>单位</w:t>
            </w:r>
            <w:r>
              <w:rPr>
                <w:rFonts w:hint="eastAsia" w:ascii="宋体" w:hAnsi="宋体" w:eastAsia="宋体" w:cs="宋体"/>
                <w:color w:val="000000"/>
                <w:kern w:val="0"/>
                <w:sz w:val="24"/>
                <w:szCs w:val="24"/>
                <w:lang w:bidi="ar"/>
              </w:rPr>
              <w:t>本年度国有资本经营预算财政拨款支出情况。</w:t>
            </w:r>
            <w:r>
              <w:rPr>
                <w:rFonts w:hint="eastAsia" w:ascii="宋体" w:hAnsi="宋体" w:eastAsia="宋体" w:cs="宋体"/>
                <w:color w:val="000000"/>
                <w:kern w:val="0"/>
                <w:sz w:val="24"/>
                <w:szCs w:val="24"/>
                <w:lang w:val="en-US" w:eastAsia="zh-CN" w:bidi="ar"/>
              </w:rPr>
              <w:t>本单位本年度无国有资本经营预算财政拨款支出，按要求以空表列示。</w:t>
            </w:r>
            <w:r>
              <w:rPr>
                <w:b/>
              </w:rPr>
              <w:br w:type="page"/>
            </w:r>
          </w:p>
          <w:p>
            <w:pPr>
              <w:widowControl/>
              <w:jc w:val="left"/>
              <w:textAlignment w:val="center"/>
              <w:rPr>
                <w:rFonts w:ascii="宋体" w:hAnsi="宋体" w:eastAsia="宋体" w:cs="宋体"/>
                <w:color w:val="000000"/>
                <w:sz w:val="24"/>
              </w:rPr>
            </w:pPr>
          </w:p>
        </w:tc>
      </w:tr>
    </w:tbl>
    <w:p>
      <w:pPr>
        <w:sectPr>
          <w:pgSz w:w="11906" w:h="16838"/>
          <w:pgMar w:top="1474" w:right="1474" w:bottom="1474" w:left="1474" w:header="851" w:footer="992" w:gutter="0"/>
          <w:cols w:space="0" w:num="1"/>
          <w:docGrid w:type="lines" w:linePitch="312" w:charSpace="0"/>
        </w:sectPr>
      </w:pPr>
    </w:p>
    <w:tbl>
      <w:tblPr>
        <w:tblStyle w:val="6"/>
        <w:tblW w:w="10157" w:type="dxa"/>
        <w:tblInd w:w="-550" w:type="dxa"/>
        <w:tblLayout w:type="fixed"/>
        <w:tblCellMar>
          <w:top w:w="15" w:type="dxa"/>
          <w:left w:w="15" w:type="dxa"/>
          <w:bottom w:w="15" w:type="dxa"/>
          <w:right w:w="15" w:type="dxa"/>
        </w:tblCellMar>
      </w:tblPr>
      <w:tblGrid>
        <w:gridCol w:w="676"/>
        <w:gridCol w:w="439"/>
        <w:gridCol w:w="333"/>
        <w:gridCol w:w="667"/>
        <w:gridCol w:w="70"/>
        <w:gridCol w:w="825"/>
        <w:gridCol w:w="93"/>
        <w:gridCol w:w="752"/>
        <w:gridCol w:w="236"/>
        <w:gridCol w:w="996"/>
        <w:gridCol w:w="735"/>
        <w:gridCol w:w="840"/>
        <w:gridCol w:w="226"/>
        <w:gridCol w:w="289"/>
        <w:gridCol w:w="152"/>
        <w:gridCol w:w="684"/>
        <w:gridCol w:w="164"/>
        <w:gridCol w:w="752"/>
        <w:gridCol w:w="1228"/>
      </w:tblGrid>
      <w:tr>
        <w:tblPrEx>
          <w:tblCellMar>
            <w:top w:w="15" w:type="dxa"/>
            <w:left w:w="15" w:type="dxa"/>
            <w:bottom w:w="15" w:type="dxa"/>
            <w:right w:w="15" w:type="dxa"/>
          </w:tblCellMar>
        </w:tblPrEx>
        <w:trPr>
          <w:trHeight w:val="624" w:hRule="atLeast"/>
        </w:trPr>
        <w:tc>
          <w:tcPr>
            <w:tcW w:w="10157" w:type="dxa"/>
            <w:gridSpan w:val="19"/>
            <w:shd w:val="clear" w:color="auto" w:fill="FFFFFF"/>
            <w:vAlign w:val="center"/>
          </w:tcPr>
          <w:p>
            <w:pPr>
              <w:widowControl/>
              <w:jc w:val="center"/>
              <w:textAlignment w:val="center"/>
              <w:rPr>
                <w:rFonts w:ascii="华文中宋" w:hAnsi="华文中宋" w:eastAsia="华文中宋" w:cs="华文中宋"/>
                <w:b/>
                <w:bCs/>
                <w:color w:val="000000"/>
                <w:sz w:val="32"/>
                <w:szCs w:val="32"/>
              </w:rPr>
            </w:pPr>
            <w:r>
              <w:rPr>
                <w:rFonts w:hint="eastAsia" w:ascii="华文中宋" w:hAnsi="华文中宋" w:eastAsia="华文中宋" w:cs="华文中宋"/>
                <w:b/>
                <w:bCs/>
                <w:color w:val="000000"/>
                <w:kern w:val="0"/>
                <w:sz w:val="32"/>
                <w:szCs w:val="32"/>
                <w:lang w:bidi="ar"/>
              </w:rPr>
              <w:t>财政拨款“三公”经费支出决算表</w:t>
            </w:r>
          </w:p>
        </w:tc>
      </w:tr>
      <w:tr>
        <w:tblPrEx>
          <w:tblCellMar>
            <w:top w:w="15" w:type="dxa"/>
            <w:left w:w="15" w:type="dxa"/>
            <w:bottom w:w="15" w:type="dxa"/>
            <w:right w:w="15" w:type="dxa"/>
          </w:tblCellMar>
        </w:tblPrEx>
        <w:trPr>
          <w:trHeight w:val="360" w:hRule="atLeast"/>
        </w:trPr>
        <w:tc>
          <w:tcPr>
            <w:tcW w:w="1115" w:type="dxa"/>
            <w:gridSpan w:val="2"/>
            <w:shd w:val="clear" w:color="auto" w:fill="auto"/>
            <w:vAlign w:val="center"/>
          </w:tcPr>
          <w:p>
            <w:pPr>
              <w:jc w:val="center"/>
              <w:rPr>
                <w:rFonts w:ascii="宋体" w:hAnsi="宋体" w:eastAsia="宋体" w:cs="宋体"/>
                <w:color w:val="000000"/>
                <w:sz w:val="24"/>
              </w:rPr>
            </w:pPr>
          </w:p>
        </w:tc>
        <w:tc>
          <w:tcPr>
            <w:tcW w:w="1000" w:type="dxa"/>
            <w:gridSpan w:val="2"/>
            <w:shd w:val="clear" w:color="auto" w:fill="auto"/>
            <w:vAlign w:val="center"/>
          </w:tcPr>
          <w:p>
            <w:pPr>
              <w:jc w:val="center"/>
              <w:rPr>
                <w:rFonts w:ascii="宋体" w:hAnsi="宋体" w:eastAsia="宋体" w:cs="宋体"/>
                <w:color w:val="000000"/>
                <w:sz w:val="24"/>
              </w:rPr>
            </w:pPr>
          </w:p>
        </w:tc>
        <w:tc>
          <w:tcPr>
            <w:tcW w:w="988" w:type="dxa"/>
            <w:gridSpan w:val="3"/>
            <w:shd w:val="clear" w:color="auto" w:fill="auto"/>
            <w:vAlign w:val="center"/>
          </w:tcPr>
          <w:p>
            <w:pPr>
              <w:jc w:val="center"/>
              <w:rPr>
                <w:rFonts w:ascii="宋体" w:hAnsi="宋体" w:eastAsia="宋体" w:cs="宋体"/>
                <w:color w:val="000000"/>
                <w:sz w:val="24"/>
              </w:rPr>
            </w:pPr>
          </w:p>
        </w:tc>
        <w:tc>
          <w:tcPr>
            <w:tcW w:w="988" w:type="dxa"/>
            <w:gridSpan w:val="2"/>
            <w:shd w:val="clear" w:color="auto" w:fill="auto"/>
            <w:vAlign w:val="center"/>
          </w:tcPr>
          <w:p>
            <w:pPr>
              <w:rPr>
                <w:rFonts w:ascii="宋体" w:hAnsi="宋体" w:eastAsia="宋体" w:cs="宋体"/>
                <w:color w:val="000000"/>
                <w:sz w:val="24"/>
              </w:rPr>
            </w:pPr>
          </w:p>
        </w:tc>
        <w:tc>
          <w:tcPr>
            <w:tcW w:w="996" w:type="dxa"/>
            <w:shd w:val="clear" w:color="auto" w:fill="auto"/>
            <w:vAlign w:val="center"/>
          </w:tcPr>
          <w:p>
            <w:pPr>
              <w:widowControl/>
              <w:jc w:val="right"/>
              <w:textAlignment w:val="center"/>
              <w:rPr>
                <w:rFonts w:ascii="宋体" w:hAnsi="宋体" w:eastAsia="宋体" w:cs="宋体"/>
                <w:color w:val="000000"/>
                <w:sz w:val="24"/>
              </w:rPr>
            </w:pPr>
          </w:p>
        </w:tc>
        <w:tc>
          <w:tcPr>
            <w:tcW w:w="2090" w:type="dxa"/>
            <w:gridSpan w:val="4"/>
            <w:shd w:val="clear" w:color="auto" w:fill="auto"/>
            <w:vAlign w:val="bottom"/>
          </w:tcPr>
          <w:p>
            <w:pPr>
              <w:jc w:val="right"/>
              <w:rPr>
                <w:rFonts w:ascii="宋体" w:hAnsi="宋体" w:eastAsia="宋体" w:cs="宋体"/>
                <w:color w:val="000000"/>
                <w:sz w:val="24"/>
              </w:rPr>
            </w:pPr>
          </w:p>
        </w:tc>
        <w:tc>
          <w:tcPr>
            <w:tcW w:w="1000" w:type="dxa"/>
            <w:gridSpan w:val="3"/>
            <w:shd w:val="clear" w:color="auto" w:fill="auto"/>
            <w:vAlign w:val="bottom"/>
          </w:tcPr>
          <w:p>
            <w:pPr>
              <w:wordWrap w:val="0"/>
              <w:jc w:val="right"/>
              <w:rPr>
                <w:rFonts w:ascii="宋体" w:hAnsi="宋体" w:eastAsia="宋体" w:cs="宋体"/>
                <w:color w:val="000000"/>
                <w:sz w:val="24"/>
              </w:rPr>
            </w:pPr>
            <w:r>
              <w:rPr>
                <w:rFonts w:hint="eastAsia" w:ascii="宋体" w:hAnsi="宋体" w:eastAsia="宋体" w:cs="宋体"/>
                <w:color w:val="000000"/>
                <w:sz w:val="24"/>
                <w:szCs w:val="24"/>
              </w:rPr>
              <w:t xml:space="preserve">    </w:t>
            </w:r>
          </w:p>
        </w:tc>
        <w:tc>
          <w:tcPr>
            <w:tcW w:w="1980" w:type="dxa"/>
            <w:gridSpan w:val="2"/>
            <w:shd w:val="clear" w:color="auto" w:fill="auto"/>
            <w:vAlign w:val="bottom"/>
          </w:tcPr>
          <w:p>
            <w:pPr>
              <w:jc w:val="right"/>
              <w:rPr>
                <w:rFonts w:ascii="宋体" w:hAnsi="宋体" w:eastAsia="宋体" w:cs="宋体"/>
                <w:color w:val="000000"/>
                <w:sz w:val="24"/>
              </w:rPr>
            </w:pPr>
            <w:r>
              <w:rPr>
                <w:rFonts w:hint="eastAsia" w:ascii="宋体" w:hAnsi="宋体" w:eastAsia="宋体" w:cs="宋体"/>
                <w:color w:val="000000"/>
                <w:kern w:val="0"/>
                <w:sz w:val="20"/>
                <w:szCs w:val="20"/>
                <w:lang w:bidi="ar"/>
              </w:rPr>
              <w:t>公开09表</w:t>
            </w:r>
          </w:p>
        </w:tc>
      </w:tr>
      <w:tr>
        <w:tblPrEx>
          <w:tblCellMar>
            <w:top w:w="15" w:type="dxa"/>
            <w:left w:w="15" w:type="dxa"/>
            <w:bottom w:w="15" w:type="dxa"/>
            <w:right w:w="15" w:type="dxa"/>
          </w:tblCellMar>
        </w:tblPrEx>
        <w:trPr>
          <w:trHeight w:val="420" w:hRule="atLeast"/>
        </w:trPr>
        <w:tc>
          <w:tcPr>
            <w:tcW w:w="3103" w:type="dxa"/>
            <w:gridSpan w:val="7"/>
            <w:shd w:val="clear" w:color="auto" w:fill="FFFFFF"/>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lang w:eastAsia="zh-CN" w:bidi="ar"/>
              </w:rPr>
              <w:t>单位</w:t>
            </w: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val="en-US" w:eastAsia="zh-CN" w:bidi="ar"/>
              </w:rPr>
              <w:t>石家庄循环化工园区医院</w:t>
            </w:r>
          </w:p>
        </w:tc>
        <w:tc>
          <w:tcPr>
            <w:tcW w:w="988" w:type="dxa"/>
            <w:gridSpan w:val="2"/>
            <w:shd w:val="clear" w:color="auto" w:fill="FFFFFF"/>
            <w:vAlign w:val="center"/>
          </w:tcPr>
          <w:p>
            <w:pPr>
              <w:jc w:val="right"/>
              <w:rPr>
                <w:rFonts w:ascii="宋体" w:hAnsi="宋体" w:eastAsia="宋体" w:cs="宋体"/>
                <w:color w:val="000000"/>
                <w:sz w:val="20"/>
                <w:szCs w:val="20"/>
              </w:rPr>
            </w:pPr>
          </w:p>
        </w:tc>
        <w:tc>
          <w:tcPr>
            <w:tcW w:w="2797" w:type="dxa"/>
            <w:gridSpan w:val="4"/>
            <w:shd w:val="clear" w:color="auto" w:fill="FFFFFF"/>
            <w:vAlign w:val="center"/>
          </w:tcPr>
          <w:p>
            <w:pPr>
              <w:widowControl/>
              <w:tabs>
                <w:tab w:val="left" w:pos="630"/>
                <w:tab w:val="left" w:pos="5250"/>
              </w:tabs>
              <w:ind w:right="346" w:rightChars="165"/>
              <w:jc w:val="center"/>
              <w:rPr>
                <w:rFonts w:ascii="宋体" w:hAnsi="宋体" w:eastAsia="宋体" w:cs="宋体"/>
                <w:color w:val="000000"/>
                <w:sz w:val="20"/>
                <w:szCs w:val="20"/>
              </w:rPr>
            </w:pPr>
            <w:r>
              <w:rPr>
                <w:rFonts w:hint="eastAsia" w:ascii="宋体" w:hAnsi="宋体" w:eastAsia="宋体" w:cs="宋体"/>
                <w:color w:val="000000"/>
                <w:sz w:val="20"/>
                <w:szCs w:val="20"/>
              </w:rPr>
              <w:t>2023年度</w:t>
            </w:r>
          </w:p>
        </w:tc>
        <w:tc>
          <w:tcPr>
            <w:tcW w:w="3269" w:type="dxa"/>
            <w:gridSpan w:val="6"/>
            <w:shd w:val="clear" w:color="auto" w:fill="FFFFFF"/>
            <w:vAlign w:val="center"/>
          </w:tcPr>
          <w:p>
            <w:pPr>
              <w:widowControl/>
              <w:tabs>
                <w:tab w:val="left" w:pos="630"/>
                <w:tab w:val="left" w:pos="5250"/>
              </w:tabs>
              <w:ind w:right="0" w:rightChars="0"/>
              <w:jc w:val="right"/>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eastAsia="zh-CN" w:bidi="ar"/>
              </w:rPr>
              <w:t>金额单位：万元</w:t>
            </w:r>
          </w:p>
        </w:tc>
      </w:tr>
      <w:tr>
        <w:tblPrEx>
          <w:tblCellMar>
            <w:top w:w="15" w:type="dxa"/>
            <w:left w:w="15" w:type="dxa"/>
            <w:bottom w:w="15" w:type="dxa"/>
            <w:right w:w="15" w:type="dxa"/>
          </w:tblCellMar>
        </w:tblPrEx>
        <w:trPr>
          <w:trHeight w:val="589" w:hRule="atLeast"/>
        </w:trPr>
        <w:tc>
          <w:tcPr>
            <w:tcW w:w="508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预算数</w:t>
            </w:r>
          </w:p>
        </w:tc>
        <w:tc>
          <w:tcPr>
            <w:tcW w:w="50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决算数</w:t>
            </w:r>
          </w:p>
        </w:tc>
      </w:tr>
      <w:tr>
        <w:tblPrEx>
          <w:tblCellMar>
            <w:top w:w="15" w:type="dxa"/>
            <w:left w:w="15" w:type="dxa"/>
            <w:bottom w:w="15" w:type="dxa"/>
            <w:right w:w="15" w:type="dxa"/>
          </w:tblCellMar>
        </w:tblPrEx>
        <w:trPr>
          <w:trHeight w:val="650" w:hRule="atLeast"/>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合计</w:t>
            </w:r>
          </w:p>
        </w:tc>
        <w:tc>
          <w:tcPr>
            <w:tcW w:w="7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因公出国（境）费</w:t>
            </w:r>
          </w:p>
        </w:tc>
        <w:tc>
          <w:tcPr>
            <w:tcW w:w="24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公务用车购置及运行维护费</w:t>
            </w:r>
          </w:p>
        </w:tc>
        <w:tc>
          <w:tcPr>
            <w:tcW w:w="12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公务接待费</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合计</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因公出国（境）费</w:t>
            </w:r>
          </w:p>
        </w:tc>
        <w:tc>
          <w:tcPr>
            <w:tcW w:w="22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公务用车购置及运行维护费</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公务接待费</w:t>
            </w:r>
          </w:p>
        </w:tc>
      </w:tr>
      <w:tr>
        <w:tblPrEx>
          <w:tblCellMar>
            <w:top w:w="15" w:type="dxa"/>
            <w:left w:w="15" w:type="dxa"/>
            <w:bottom w:w="15" w:type="dxa"/>
            <w:right w:w="15" w:type="dxa"/>
          </w:tblCellMar>
        </w:tblPrEx>
        <w:trPr>
          <w:trHeight w:val="1166"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2"/>
              </w:rPr>
            </w:pPr>
          </w:p>
        </w:tc>
        <w:tc>
          <w:tcPr>
            <w:tcW w:w="7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2"/>
              </w:rPr>
            </w:pPr>
          </w:p>
        </w:tc>
        <w:tc>
          <w:tcPr>
            <w:tcW w:w="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小计</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公务用车购置费</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公务用车运行维护费</w:t>
            </w:r>
          </w:p>
        </w:tc>
        <w:tc>
          <w:tcPr>
            <w:tcW w:w="12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2"/>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2"/>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2"/>
              </w:rPr>
            </w:pPr>
          </w:p>
        </w:tc>
        <w:tc>
          <w:tcPr>
            <w:tcW w:w="6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小计</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公务用车购置费</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kern w:val="0"/>
                <w:sz w:val="22"/>
                <w:lang w:bidi="ar"/>
              </w:rPr>
            </w:pPr>
            <w:r>
              <w:rPr>
                <w:rFonts w:hint="eastAsia" w:ascii="宋体" w:hAnsi="宋体" w:eastAsia="宋体" w:cs="宋体"/>
                <w:b/>
                <w:bCs/>
                <w:color w:val="000000"/>
                <w:kern w:val="0"/>
                <w:sz w:val="22"/>
                <w:lang w:bidi="ar"/>
              </w:rPr>
              <w:t>公务用车</w:t>
            </w:r>
          </w:p>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运行维护费</w:t>
            </w: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2"/>
              </w:rPr>
            </w:pPr>
          </w:p>
        </w:tc>
      </w:tr>
      <w:tr>
        <w:tblPrEx>
          <w:tblCellMar>
            <w:top w:w="15" w:type="dxa"/>
            <w:left w:w="15" w:type="dxa"/>
            <w:bottom w:w="15" w:type="dxa"/>
            <w:right w:w="15" w:type="dxa"/>
          </w:tblCellMar>
        </w:tblPrEx>
        <w:trPr>
          <w:trHeight w:val="589"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7</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6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9</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12</w:t>
            </w:r>
          </w:p>
        </w:tc>
      </w:tr>
      <w:tr>
        <w:tblPrEx>
          <w:tblCellMar>
            <w:top w:w="15" w:type="dxa"/>
            <w:left w:w="15" w:type="dxa"/>
            <w:bottom w:w="15" w:type="dxa"/>
            <w:right w:w="15" w:type="dxa"/>
          </w:tblCellMar>
        </w:tblPrEx>
        <w:trPr>
          <w:trHeight w:val="478"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6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r>
      <w:tr>
        <w:tblPrEx>
          <w:tblCellMar>
            <w:top w:w="15" w:type="dxa"/>
            <w:left w:w="15" w:type="dxa"/>
            <w:bottom w:w="15" w:type="dxa"/>
            <w:right w:w="15" w:type="dxa"/>
          </w:tblCellMar>
        </w:tblPrEx>
        <w:trPr>
          <w:trHeight w:val="1149" w:hRule="atLeast"/>
        </w:trPr>
        <w:tc>
          <w:tcPr>
            <w:tcW w:w="10157" w:type="dxa"/>
            <w:gridSpan w:val="19"/>
            <w:shd w:val="clear" w:color="auto" w:fill="auto"/>
            <w:vAlign w:val="center"/>
          </w:tcPr>
          <w:p>
            <w:pPr>
              <w:keepNext w:val="0"/>
              <w:keepLines w:val="0"/>
              <w:widowControl/>
              <w:suppressLineNumbers w:val="0"/>
              <w:jc w:val="left"/>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注：本表反映</w:t>
            </w:r>
            <w:r>
              <w:rPr>
                <w:rFonts w:hint="eastAsia" w:ascii="宋体" w:hAnsi="宋体" w:eastAsia="宋体" w:cs="宋体"/>
                <w:color w:val="000000"/>
                <w:kern w:val="0"/>
                <w:sz w:val="24"/>
                <w:szCs w:val="24"/>
                <w:lang w:eastAsia="zh-CN" w:bidi="ar"/>
              </w:rPr>
              <w:t>单位</w:t>
            </w:r>
            <w:r>
              <w:rPr>
                <w:rFonts w:hint="eastAsia" w:ascii="宋体" w:hAnsi="宋体" w:eastAsia="宋体" w:cs="宋体"/>
                <w:color w:val="000000"/>
                <w:kern w:val="0"/>
                <w:sz w:val="24"/>
                <w:szCs w:val="24"/>
                <w:lang w:bidi="ar"/>
              </w:rPr>
              <w:t>本年度财政拨款“三公”经费支出预决算情况。其中，预算数为“三公”经费全年预算数，反映按规定程序调整后的预算数；决算数是包括当年财政拨款和以前年度结转资金安排的实际支出。</w:t>
            </w:r>
            <w:r>
              <w:rPr>
                <w:rFonts w:hint="eastAsia" w:ascii="宋体" w:hAnsi="宋体" w:eastAsia="宋体" w:cs="宋体"/>
                <w:color w:val="000000"/>
                <w:kern w:val="0"/>
                <w:sz w:val="24"/>
                <w:szCs w:val="24"/>
                <w:lang w:val="en-US" w:eastAsia="zh-CN" w:bidi="ar"/>
              </w:rPr>
              <w:t>本单位本年度无财政拨款“三公”经费支出预决算情况，按要求以空表列示。</w:t>
            </w:r>
          </w:p>
        </w:tc>
      </w:tr>
    </w:tbl>
    <w:p>
      <w:pPr>
        <w:widowControl/>
        <w:spacing w:after="160" w:line="580" w:lineRule="exact"/>
        <w:ind w:firstLine="2275" w:firstLineChars="316"/>
        <w:rPr>
          <w:rFonts w:eastAsia="黑体"/>
          <w:sz w:val="32"/>
          <w:szCs w:val="32"/>
        </w:rPr>
      </w:pPr>
      <w:r>
        <w:rPr>
          <w:sz w:val="72"/>
        </w:rPr>
        <mc:AlternateContent>
          <mc:Choice Requires="wps">
            <w:drawing>
              <wp:anchor distT="0" distB="0" distL="114300" distR="114300" simplePos="0" relativeHeight="251664384" behindDoc="0" locked="0" layoutInCell="1" allowOverlap="1">
                <wp:simplePos x="0" y="0"/>
                <wp:positionH relativeFrom="column">
                  <wp:posOffset>-1088390</wp:posOffset>
                </wp:positionH>
                <wp:positionV relativeFrom="paragraph">
                  <wp:posOffset>3024505</wp:posOffset>
                </wp:positionV>
                <wp:extent cx="7793355" cy="2200275"/>
                <wp:effectExtent l="0" t="0" r="0" b="0"/>
                <wp:wrapNone/>
                <wp:docPr id="151" name="文本框 151"/>
                <wp:cNvGraphicFramePr/>
                <a:graphic xmlns:a="http://schemas.openxmlformats.org/drawingml/2006/main">
                  <a:graphicData uri="http://schemas.microsoft.com/office/word/2010/wordprocessingShape">
                    <wps:wsp>
                      <wps:cNvSpPr txBox="1"/>
                      <wps:spPr>
                        <a:xfrm>
                          <a:off x="0" y="0"/>
                          <a:ext cx="7793355" cy="22002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 </w:t>
                            </w:r>
                          </w:p>
                          <w:p>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5.7pt;margin-top:238.15pt;height:173.25pt;width:613.65pt;z-index:251664384;mso-width-relative:page;mso-height-relative:page;" filled="f" stroked="f" coordsize="21600,21600" o:gfxdata="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uuj5PeAAAADQEAAA8AAAAAAAAAAQAgAAAA&#10;IgAAAGRycy9kb3ducmV2LnhtbFBLAQIUABQAAAAIAIdO4kBdpNn+PgIAAGsEAAAOAAAAAAAAAAEA&#10;IAAAAC0BAABkcnMvZTJvRG9jLnhtbFBLBQYAAAAABgAGAFkBAADdBQAAAAA=&#10;">
                <v:fill on="f" focussize="0,0"/>
                <v:stroke on="f" weight="0.5pt"/>
                <v:imagedata o:title=""/>
                <o:lock v:ext="edit" aspectratio="f"/>
                <v:textbox>
                  <w:txbxContent>
                    <w:p>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 </w:t>
                      </w:r>
                    </w:p>
                    <w:p>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p>
                  </w:txbxContent>
                </v:textbox>
              </v:shape>
            </w:pict>
          </mc:Fallback>
        </mc:AlternateContent>
      </w:r>
    </w:p>
    <w:p>
      <w:pPr>
        <w:widowControl/>
        <w:spacing w:after="160" w:line="580" w:lineRule="exact"/>
        <w:ind w:left="-283" w:leftChars="-135" w:firstLine="1292" w:firstLineChars="404"/>
        <w:rPr>
          <w:rFonts w:eastAsia="黑体"/>
          <w:sz w:val="32"/>
          <w:szCs w:val="32"/>
        </w:rPr>
      </w:pPr>
    </w:p>
    <w:p>
      <w:pPr>
        <w:widowControl/>
        <w:spacing w:after="160" w:line="580" w:lineRule="exact"/>
        <w:ind w:firstLine="1011" w:firstLineChars="316"/>
        <w:rPr>
          <w:rFonts w:eastAsia="黑体"/>
          <w:sz w:val="32"/>
          <w:szCs w:val="32"/>
        </w:rPr>
      </w:pPr>
    </w:p>
    <w:p>
      <w:pPr>
        <w:widowControl/>
        <w:spacing w:after="160" w:line="580" w:lineRule="exact"/>
        <w:ind w:firstLine="1011" w:firstLineChars="316"/>
        <w:rPr>
          <w:rFonts w:eastAsia="黑体"/>
          <w:sz w:val="32"/>
          <w:szCs w:val="32"/>
        </w:rPr>
      </w:pPr>
    </w:p>
    <w:p>
      <w:pPr>
        <w:widowControl/>
        <w:spacing w:after="160" w:line="580" w:lineRule="exact"/>
        <w:ind w:firstLine="1011" w:firstLineChars="316"/>
        <w:rPr>
          <w:rFonts w:eastAsia="黑体"/>
          <w:sz w:val="32"/>
          <w:szCs w:val="32"/>
        </w:rPr>
      </w:pPr>
    </w:p>
    <w:p>
      <w:pPr>
        <w:widowControl/>
        <w:spacing w:after="160" w:line="580" w:lineRule="exact"/>
        <w:ind w:firstLine="1011" w:firstLineChars="316"/>
        <w:rPr>
          <w:rFonts w:eastAsia="黑体"/>
          <w:sz w:val="32"/>
          <w:szCs w:val="32"/>
        </w:rPr>
      </w:pPr>
    </w:p>
    <w:p>
      <w:pPr>
        <w:widowControl/>
        <w:spacing w:after="160" w:line="580" w:lineRule="exact"/>
        <w:ind w:firstLine="1011" w:firstLineChars="316"/>
        <w:rPr>
          <w:rFonts w:eastAsia="黑体"/>
          <w:sz w:val="32"/>
          <w:szCs w:val="32"/>
        </w:rPr>
      </w:pPr>
    </w:p>
    <w:p>
      <w:pPr>
        <w:widowControl/>
        <w:spacing w:after="160" w:line="580" w:lineRule="exact"/>
        <w:ind w:firstLine="1011" w:firstLineChars="316"/>
        <w:rPr>
          <w:rFonts w:eastAsia="黑体"/>
          <w:sz w:val="32"/>
          <w:szCs w:val="32"/>
        </w:rPr>
      </w:pPr>
      <w:r>
        <w:rPr>
          <w:rFonts w:hint="eastAsia" w:eastAsia="黑体"/>
          <w:sz w:val="32"/>
          <w:szCs w:val="32"/>
        </w:rPr>
        <w:t xml:space="preserve">     </w:t>
      </w:r>
    </w:p>
    <w:p>
      <w:pPr>
        <w:widowControl/>
        <w:jc w:val="center"/>
        <w:rPr>
          <w:rFonts w:eastAsia="黑体"/>
          <w:sz w:val="32"/>
          <w:szCs w:val="32"/>
        </w:rPr>
      </w:pPr>
    </w:p>
    <w:p>
      <w:pPr>
        <w:widowControl/>
        <w:jc w:val="both"/>
        <w:rPr>
          <w:rFonts w:eastAsia="黑体"/>
          <w:sz w:val="32"/>
          <w:szCs w:val="32"/>
        </w:rPr>
      </w:pPr>
    </w:p>
    <w:p>
      <w:pPr>
        <w:widowControl/>
        <w:jc w:val="center"/>
        <w:rPr>
          <w:rFonts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p>
    <w:p>
      <w:pPr>
        <w:widowControl/>
        <w:jc w:val="center"/>
        <w:rPr>
          <w:rFonts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第三部分 2023年度</w:t>
      </w:r>
      <w:r>
        <w:rPr>
          <w:rFonts w:hint="eastAsia" w:ascii="黑体" w:hAnsi="黑体" w:eastAsia="黑体" w:cs="黑体"/>
          <w:color w:val="000000" w:themeColor="text1"/>
          <w:sz w:val="44"/>
          <w:szCs w:val="44"/>
          <w:lang w:eastAsia="zh-CN"/>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单位</w:t>
      </w:r>
      <w:r>
        <w:rPr>
          <w:rFonts w:hint="eastAsia"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决算情况说明</w:t>
      </w:r>
    </w:p>
    <w:p>
      <w:pPr>
        <w:rPr>
          <w:rFonts w:ascii="黑体" w:hAnsi="Calibri" w:eastAsia="黑体" w:cs="Times New Roman"/>
          <w:sz w:val="32"/>
          <w:szCs w:val="32"/>
        </w:rPr>
      </w:pPr>
    </w:p>
    <w:p>
      <w:pPr>
        <w:ind w:firstLine="640" w:firstLineChars="200"/>
        <w:rPr>
          <w:rFonts w:ascii="黑体" w:hAnsi="Calibri" w:eastAsia="黑体" w:cs="Times New Roman"/>
          <w:sz w:val="32"/>
          <w:szCs w:val="32"/>
        </w:rPr>
      </w:pPr>
      <w:r>
        <w:rPr>
          <w:rFonts w:hint="eastAsia" w:ascii="黑体" w:hAnsi="Calibri" w:eastAsia="黑体" w:cs="Times New Roman"/>
          <w:sz w:val="32"/>
          <w:szCs w:val="32"/>
        </w:rPr>
        <w:t>一、收入</w:t>
      </w:r>
      <w:r>
        <w:rPr>
          <w:rFonts w:hint="eastAsia" w:ascii="黑体" w:hAnsi="Cambria" w:eastAsia="黑体" w:cs="黑体"/>
          <w:kern w:val="0"/>
          <w:sz w:val="32"/>
          <w:szCs w:val="32"/>
        </w:rPr>
        <w:t>支出</w:t>
      </w:r>
      <w:r>
        <w:rPr>
          <w:rFonts w:hint="eastAsia" w:ascii="黑体" w:hAnsi="Calibri" w:eastAsia="黑体" w:cs="Times New Roman"/>
          <w:sz w:val="32"/>
          <w:szCs w:val="32"/>
        </w:rPr>
        <w:t>决算总体情况说明</w:t>
      </w:r>
    </w:p>
    <w:p>
      <w:pPr>
        <w:adjustRightInd w:val="0"/>
        <w:snapToGrid w:val="0"/>
        <w:spacing w:line="580" w:lineRule="exact"/>
        <w:ind w:firstLine="640" w:firstLineChars="200"/>
        <w:rPr>
          <w:rFonts w:hint="eastAsia" w:ascii="仿宋_GB2312" w:hAnsi="Times New Roman" w:eastAsia="仿宋_GB2312" w:cs="DengXian-Regular"/>
          <w:sz w:val="32"/>
          <w:szCs w:val="32"/>
          <w:highlight w:val="yellow"/>
        </w:rPr>
      </w:pP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2023年度收、支总计（含结转和结余）9</w:t>
      </w:r>
      <w:r>
        <w:rPr>
          <w:rFonts w:hint="eastAsia" w:ascii="仿宋_GB2312" w:hAnsi="Times New Roman" w:eastAsia="仿宋_GB2312" w:cs="DengXian-Regular"/>
          <w:sz w:val="32"/>
          <w:szCs w:val="32"/>
          <w:lang w:val="en-US" w:eastAsia="zh-CN"/>
        </w:rPr>
        <w:t>,</w:t>
      </w:r>
      <w:r>
        <w:rPr>
          <w:rFonts w:hint="eastAsia" w:ascii="仿宋_GB2312" w:hAnsi="Times New Roman" w:eastAsia="仿宋_GB2312" w:cs="DengXian-Regular"/>
          <w:sz w:val="32"/>
          <w:szCs w:val="32"/>
        </w:rPr>
        <w:t>761.01万元。与2022年度决算相比，收支各减少566.69万元，降低5.</w:t>
      </w:r>
      <w:r>
        <w:rPr>
          <w:rFonts w:hint="eastAsia" w:ascii="仿宋_GB2312" w:hAnsi="Times New Roman" w:eastAsia="仿宋_GB2312" w:cs="DengXian-Regular"/>
          <w:sz w:val="32"/>
          <w:szCs w:val="32"/>
          <w:lang w:val="en-US" w:eastAsia="zh-CN"/>
        </w:rPr>
        <w:t>5</w:t>
      </w:r>
      <w:r>
        <w:rPr>
          <w:rFonts w:hint="eastAsia" w:ascii="仿宋_GB2312" w:hAnsi="Times New Roman" w:eastAsia="仿宋_GB2312" w:cs="DengXian-Regular"/>
          <w:sz w:val="32"/>
          <w:szCs w:val="32"/>
        </w:rPr>
        <w:t>%，主要原因是</w:t>
      </w:r>
      <w:r>
        <w:rPr>
          <w:rFonts w:hint="eastAsia" w:ascii="仿宋_GB2312" w:hAnsi="Times New Roman" w:eastAsia="仿宋_GB2312" w:cs="DengXian-Regular"/>
          <w:sz w:val="32"/>
          <w:szCs w:val="32"/>
          <w:lang w:eastAsia="zh-CN"/>
        </w:rPr>
        <w:t>一般公共预算财政拨款收支较上年各减少</w:t>
      </w:r>
      <w:r>
        <w:rPr>
          <w:rFonts w:hint="eastAsia" w:ascii="仿宋_GB2312" w:hAnsi="Times New Roman" w:eastAsia="仿宋_GB2312" w:cs="DengXian-Regular"/>
          <w:sz w:val="32"/>
          <w:szCs w:val="32"/>
          <w:lang w:val="en-US" w:eastAsia="zh-CN"/>
        </w:rPr>
        <w:t>599.79万元</w:t>
      </w:r>
      <w:r>
        <w:rPr>
          <w:rFonts w:hint="eastAsia" w:ascii="仿宋_GB2312" w:hAnsi="Times New Roman" w:eastAsia="仿宋_GB2312" w:cs="DengXian-Regular"/>
          <w:sz w:val="32"/>
          <w:szCs w:val="32"/>
        </w:rPr>
        <w:t>。</w:t>
      </w:r>
    </w:p>
    <w:p>
      <w:pPr>
        <w:adjustRightInd w:val="0"/>
        <w:snapToGrid w:val="0"/>
        <w:spacing w:line="580" w:lineRule="exact"/>
        <w:ind w:firstLine="420" w:firstLineChars="200"/>
        <w:rPr>
          <w:rFonts w:hint="eastAsia" w:ascii="仿宋_GB2312" w:hAnsi="Times New Roman" w:eastAsia="仿宋_GB2312" w:cs="DengXian-Regular"/>
          <w:sz w:val="32"/>
          <w:szCs w:val="32"/>
          <w:highlight w:val="yellow"/>
        </w:rPr>
      </w:pPr>
      <w:r>
        <w:drawing>
          <wp:anchor distT="0" distB="0" distL="114300" distR="114300" simplePos="0" relativeHeight="251670528" behindDoc="0" locked="0" layoutInCell="1" allowOverlap="1">
            <wp:simplePos x="0" y="0"/>
            <wp:positionH relativeFrom="column">
              <wp:posOffset>366395</wp:posOffset>
            </wp:positionH>
            <wp:positionV relativeFrom="paragraph">
              <wp:posOffset>184785</wp:posOffset>
            </wp:positionV>
            <wp:extent cx="4826000" cy="2743200"/>
            <wp:effectExtent l="4445" t="4445" r="8255" b="14605"/>
            <wp:wrapTopAndBottom/>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adjustRightInd w:val="0"/>
        <w:snapToGrid w:val="0"/>
        <w:spacing w:line="580" w:lineRule="exact"/>
        <w:ind w:firstLine="640" w:firstLineChars="200"/>
        <w:rPr>
          <w:rFonts w:ascii="仿宋_GB2312" w:hAnsi="Times New Roman" w:eastAsia="仿宋_GB2312" w:cs="DengXian-Regular"/>
          <w:sz w:val="32"/>
          <w:szCs w:val="32"/>
          <w:highlight w:val="yellow"/>
        </w:rPr>
      </w:pPr>
      <w:r>
        <w:rPr>
          <w:rFonts w:hint="eastAsia" w:ascii="黑体" w:hAnsi="Calibri" w:eastAsia="黑体" w:cs="Times New Roman"/>
          <w:sz w:val="32"/>
          <w:szCs w:val="32"/>
        </w:rPr>
        <w:t>二、收入决算情况说明</w:t>
      </w:r>
    </w:p>
    <w:p>
      <w:pPr>
        <w:autoSpaceDE w:val="0"/>
        <w:autoSpaceDN w:val="0"/>
        <w:adjustRightInd w:val="0"/>
        <w:ind w:left="200" w:firstLine="640" w:firstLineChars="200"/>
        <w:jc w:val="left"/>
        <w:rPr>
          <w:rFonts w:ascii="仿宋_GB2312" w:hAnsi="Times New Roman" w:eastAsia="仿宋_GB2312" w:cs="DengXian-Regular"/>
          <w:sz w:val="32"/>
          <w:szCs w:val="32"/>
        </w:rPr>
      </w:pP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2023年度收入合计9,702.37万元，其中：财政拨款收入325.59万元，占3.</w:t>
      </w:r>
      <w:r>
        <w:rPr>
          <w:rFonts w:hint="eastAsia" w:ascii="仿宋_GB2312" w:hAnsi="Times New Roman" w:eastAsia="仿宋_GB2312" w:cs="DengXian-Regular"/>
          <w:sz w:val="32"/>
          <w:szCs w:val="32"/>
          <w:lang w:val="en-US" w:eastAsia="zh-CN"/>
        </w:rPr>
        <w:t>4</w:t>
      </w:r>
      <w:r>
        <w:rPr>
          <w:rFonts w:hint="eastAsia" w:ascii="仿宋_GB2312" w:hAnsi="Times New Roman" w:eastAsia="仿宋_GB2312" w:cs="DengXian-Regular"/>
          <w:sz w:val="32"/>
          <w:szCs w:val="32"/>
        </w:rPr>
        <w:t>%；上级补助收入0万元，占0%；事业收入9,143.47万元，占94.2%；经营收入0万元，占0%；附属单位上缴收入0万元，占0%；其他收入233.32万元，占2.4%。</w:t>
      </w:r>
    </w:p>
    <w:p>
      <w:pPr>
        <w:adjustRightInd w:val="0"/>
        <w:snapToGrid w:val="0"/>
        <w:spacing w:line="580" w:lineRule="exact"/>
        <w:ind w:firstLine="640" w:firstLineChars="200"/>
        <w:rPr>
          <w:rFonts w:hint="eastAsia" w:ascii="黑体" w:hAnsi="Calibri" w:eastAsia="黑体" w:cs="Times New Roman"/>
          <w:sz w:val="32"/>
          <w:szCs w:val="32"/>
        </w:rPr>
      </w:pPr>
    </w:p>
    <w:p>
      <w:pPr>
        <w:adjustRightInd w:val="0"/>
        <w:snapToGrid w:val="0"/>
        <w:spacing w:line="580" w:lineRule="exact"/>
        <w:ind w:firstLine="420" w:firstLineChars="200"/>
        <w:rPr>
          <w:rFonts w:ascii="仿宋_GB2312" w:hAnsi="Times New Roman" w:eastAsia="仿宋_GB2312" w:cs="DengXian-Regular"/>
          <w:sz w:val="32"/>
          <w:szCs w:val="32"/>
          <w:highlight w:val="yellow"/>
        </w:rPr>
      </w:pPr>
      <w:r>
        <w:drawing>
          <wp:anchor distT="0" distB="0" distL="114300" distR="114300" simplePos="0" relativeHeight="251671552" behindDoc="0" locked="0" layoutInCell="1" allowOverlap="1">
            <wp:simplePos x="0" y="0"/>
            <wp:positionH relativeFrom="column">
              <wp:posOffset>490220</wp:posOffset>
            </wp:positionH>
            <wp:positionV relativeFrom="paragraph">
              <wp:posOffset>106680</wp:posOffset>
            </wp:positionV>
            <wp:extent cx="4826000" cy="2743200"/>
            <wp:effectExtent l="4445" t="4445" r="8255" b="14605"/>
            <wp:wrapTopAndBottom/>
            <wp:docPr id="9"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hint="eastAsia" w:ascii="黑体" w:hAnsi="Calibri" w:eastAsia="黑体" w:cs="Times New Roman"/>
          <w:sz w:val="32"/>
          <w:szCs w:val="32"/>
        </w:rPr>
        <w:t>三、支出决算情况说明</w:t>
      </w:r>
    </w:p>
    <w:p>
      <w:pPr>
        <w:autoSpaceDE w:val="0"/>
        <w:autoSpaceDN w:val="0"/>
        <w:adjustRightInd w:val="0"/>
        <w:ind w:left="200" w:firstLine="420" w:firstLineChars="200"/>
        <w:jc w:val="left"/>
        <w:rPr>
          <w:rFonts w:hint="eastAsia" w:ascii="仿宋_GB2312" w:hAnsi="Times New Roman" w:eastAsia="仿宋_GB2312" w:cs="DengXian-Regular"/>
          <w:sz w:val="32"/>
          <w:szCs w:val="32"/>
        </w:rPr>
      </w:pPr>
      <w:r>
        <w:drawing>
          <wp:anchor distT="0" distB="0" distL="114300" distR="114300" simplePos="0" relativeHeight="251672576" behindDoc="0" locked="0" layoutInCell="1" allowOverlap="1">
            <wp:simplePos x="0" y="0"/>
            <wp:positionH relativeFrom="column">
              <wp:posOffset>398145</wp:posOffset>
            </wp:positionH>
            <wp:positionV relativeFrom="paragraph">
              <wp:posOffset>1600835</wp:posOffset>
            </wp:positionV>
            <wp:extent cx="4826000" cy="2743200"/>
            <wp:effectExtent l="4445" t="4445" r="8255" b="14605"/>
            <wp:wrapTopAndBottom/>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2023年度支出合计9,616.26万元，其中：基本支出3,957.02万元，占41.</w:t>
      </w:r>
      <w:r>
        <w:rPr>
          <w:rFonts w:hint="eastAsia" w:ascii="仿宋_GB2312" w:hAnsi="Times New Roman" w:eastAsia="仿宋_GB2312" w:cs="DengXian-Regular"/>
          <w:sz w:val="32"/>
          <w:szCs w:val="32"/>
          <w:lang w:val="en-US" w:eastAsia="zh-CN"/>
        </w:rPr>
        <w:t>2</w:t>
      </w:r>
      <w:r>
        <w:rPr>
          <w:rFonts w:hint="eastAsia" w:ascii="仿宋_GB2312" w:hAnsi="Times New Roman" w:eastAsia="仿宋_GB2312" w:cs="DengXian-Regular"/>
          <w:sz w:val="32"/>
          <w:szCs w:val="32"/>
        </w:rPr>
        <w:t>%；项目支出5,659.24万元，占58.8%；经营支出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万元，占</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%；上缴上级支出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万元，占</w:t>
      </w:r>
      <w:r>
        <w:rPr>
          <w:rFonts w:hint="eastAsia" w:ascii="仿宋_GB2312" w:hAnsi="Times New Roman" w:eastAsia="仿宋_GB2312" w:cs="DengXian-Regular"/>
          <w:sz w:val="32"/>
          <w:szCs w:val="32"/>
          <w:lang w:val="en-US" w:eastAsia="zh-CN"/>
        </w:rPr>
        <w:t>0</w:t>
      </w:r>
      <w:r>
        <w:rPr>
          <w:rFonts w:ascii="仿宋_GB2312" w:hAnsi="Times New Roman" w:eastAsia="仿宋_GB2312" w:cs="DengXian-Regular"/>
          <w:sz w:val="32"/>
          <w:szCs w:val="32"/>
        </w:rPr>
        <w:t>%</w:t>
      </w:r>
      <w:r>
        <w:rPr>
          <w:rFonts w:hint="eastAsia" w:ascii="仿宋_GB2312" w:hAnsi="Times New Roman" w:eastAsia="仿宋_GB2312" w:cs="DengXian-Regular"/>
          <w:sz w:val="32"/>
          <w:szCs w:val="32"/>
        </w:rPr>
        <w:t>；对附属单位补助支出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万元，占</w:t>
      </w:r>
      <w:r>
        <w:rPr>
          <w:rFonts w:hint="eastAsia" w:ascii="仿宋_GB2312" w:hAnsi="Times New Roman" w:eastAsia="仿宋_GB2312" w:cs="DengXian-Regular"/>
          <w:sz w:val="32"/>
          <w:szCs w:val="32"/>
          <w:lang w:val="en-US" w:eastAsia="zh-CN"/>
        </w:rPr>
        <w:t>0</w:t>
      </w:r>
      <w:r>
        <w:rPr>
          <w:rFonts w:ascii="仿宋_GB2312" w:hAnsi="Times New Roman" w:eastAsia="仿宋_GB2312" w:cs="DengXian-Regular"/>
          <w:sz w:val="32"/>
          <w:szCs w:val="32"/>
        </w:rPr>
        <w:t>%</w:t>
      </w:r>
      <w:r>
        <w:rPr>
          <w:rFonts w:hint="eastAsia" w:ascii="仿宋_GB2312" w:hAnsi="Times New Roman" w:eastAsia="仿宋_GB2312" w:cs="DengXian-Regular"/>
          <w:sz w:val="32"/>
          <w:szCs w:val="32"/>
        </w:rPr>
        <w:t>。</w:t>
      </w:r>
    </w:p>
    <w:p>
      <w:pPr>
        <w:spacing w:line="580" w:lineRule="exact"/>
        <w:ind w:firstLine="640" w:firstLineChars="200"/>
        <w:outlineLvl w:val="1"/>
        <w:rPr>
          <w:rFonts w:ascii="黑体" w:hAnsi="Calibri" w:eastAsia="黑体" w:cs="Times New Roman"/>
          <w:sz w:val="32"/>
          <w:szCs w:val="32"/>
        </w:rPr>
      </w:pPr>
      <w:r>
        <w:rPr>
          <w:rFonts w:hint="eastAsia" w:ascii="黑体" w:hAnsi="Calibri" w:eastAsia="黑体" w:cs="Times New Roman"/>
          <w:sz w:val="32"/>
          <w:szCs w:val="32"/>
        </w:rPr>
        <w:t>四、</w:t>
      </w:r>
      <w:r>
        <w:rPr>
          <w:rFonts w:hint="eastAsia" w:ascii="黑体" w:hAnsi="Cambria" w:eastAsia="黑体" w:cs="黑体"/>
          <w:kern w:val="0"/>
          <w:sz w:val="32"/>
          <w:szCs w:val="32"/>
        </w:rPr>
        <w:t>财政</w:t>
      </w:r>
      <w:r>
        <w:rPr>
          <w:rFonts w:hint="eastAsia" w:ascii="黑体" w:hAnsi="Calibri" w:eastAsia="黑体" w:cs="Times New Roman"/>
          <w:sz w:val="32"/>
          <w:szCs w:val="32"/>
        </w:rPr>
        <w:t>拨款收入支出决算总体情况说明</w:t>
      </w:r>
    </w:p>
    <w:p>
      <w:pPr>
        <w:snapToGrid w:val="0"/>
        <w:spacing w:line="580" w:lineRule="exact"/>
        <w:ind w:firstLine="643" w:firstLineChars="200"/>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（一）财政拨款收支与2022年度决算对比情况</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本单位2023年度财政拨款本年收入325.59万元,比2022年度减少599.79万元，降低64.8%，主要是</w:t>
      </w:r>
      <w:r>
        <w:rPr>
          <w:rFonts w:hint="eastAsia" w:ascii="仿宋_GB2312" w:hAnsi="Times New Roman" w:eastAsia="仿宋_GB2312" w:cs="DengXian-Regular"/>
          <w:sz w:val="32"/>
          <w:szCs w:val="32"/>
          <w:lang w:eastAsia="zh-CN"/>
        </w:rPr>
        <w:t>一般公共预算财政拨款收支减少</w:t>
      </w:r>
      <w:r>
        <w:rPr>
          <w:rFonts w:hint="eastAsia" w:ascii="仿宋_GB2312" w:hAnsi="Times New Roman" w:eastAsia="仿宋_GB2312" w:cs="DengXian-Regular"/>
          <w:sz w:val="32"/>
          <w:szCs w:val="32"/>
        </w:rPr>
        <w:t>；本年支出384.23万元，比</w:t>
      </w:r>
      <w:r>
        <w:rPr>
          <w:rFonts w:hint="eastAsia" w:ascii="仿宋_GB2312" w:hAnsi="Times New Roman" w:eastAsia="仿宋_GB2312" w:cs="DengXian-Regular"/>
          <w:sz w:val="32"/>
          <w:szCs w:val="32"/>
          <w:lang w:val="en-US" w:eastAsia="zh-CN"/>
        </w:rPr>
        <w:t>2022</w:t>
      </w:r>
      <w:r>
        <w:rPr>
          <w:rFonts w:hint="eastAsia" w:ascii="仿宋_GB2312" w:hAnsi="Times New Roman" w:eastAsia="仿宋_GB2312" w:cs="DengXian-Regular"/>
          <w:sz w:val="32"/>
          <w:szCs w:val="32"/>
        </w:rPr>
        <w:t>年减少467.31万元，降低54.</w:t>
      </w:r>
      <w:r>
        <w:rPr>
          <w:rFonts w:hint="eastAsia" w:ascii="仿宋_GB2312" w:hAnsi="Times New Roman" w:eastAsia="仿宋_GB2312" w:cs="DengXian-Regular"/>
          <w:sz w:val="32"/>
          <w:szCs w:val="32"/>
          <w:lang w:val="en-US" w:eastAsia="zh-CN"/>
        </w:rPr>
        <w:t>9</w:t>
      </w:r>
      <w:r>
        <w:rPr>
          <w:rFonts w:hint="eastAsia" w:ascii="仿宋_GB2312" w:hAnsi="Times New Roman" w:eastAsia="仿宋_GB2312" w:cs="DengXian-Regular"/>
          <w:sz w:val="32"/>
          <w:szCs w:val="32"/>
        </w:rPr>
        <w:t>%，主要是</w:t>
      </w:r>
      <w:r>
        <w:rPr>
          <w:rFonts w:hint="eastAsia" w:ascii="仿宋_GB2312" w:hAnsi="Times New Roman" w:eastAsia="仿宋_GB2312" w:cs="DengXian-Regular"/>
          <w:sz w:val="32"/>
          <w:szCs w:val="32"/>
          <w:lang w:eastAsia="zh-CN"/>
        </w:rPr>
        <w:t>一般公共预算财政拨款收支减少</w:t>
      </w:r>
      <w:r>
        <w:rPr>
          <w:rFonts w:hint="eastAsia" w:ascii="仿宋_GB2312" w:hAnsi="Times New Roman" w:eastAsia="仿宋_GB2312" w:cs="DengXian-Regular"/>
          <w:sz w:val="32"/>
          <w:szCs w:val="32"/>
        </w:rPr>
        <w:t>。具体情况如下：</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1.一般公共预算财政拨款本年收入325.59万元,比上年减少599.79万元，降低64.8%，主要是</w:t>
      </w:r>
      <w:r>
        <w:rPr>
          <w:rFonts w:hint="eastAsia" w:ascii="仿宋_GB2312" w:hAnsi="Times New Roman" w:eastAsia="仿宋_GB2312" w:cs="DengXian-Regular"/>
          <w:sz w:val="32"/>
          <w:szCs w:val="32"/>
          <w:lang w:eastAsia="zh-CN"/>
        </w:rPr>
        <w:t>本年大型设备购置减少</w:t>
      </w:r>
      <w:r>
        <w:rPr>
          <w:rFonts w:hint="eastAsia" w:ascii="仿宋_GB2312" w:hAnsi="Times New Roman" w:eastAsia="仿宋_GB2312" w:cs="DengXian-Regular"/>
          <w:sz w:val="32"/>
          <w:szCs w:val="32"/>
        </w:rPr>
        <w:t>；本年支出384.23万元，比上年减少467.31万元，降低54.</w:t>
      </w:r>
      <w:r>
        <w:rPr>
          <w:rFonts w:hint="eastAsia" w:ascii="仿宋_GB2312" w:hAnsi="Times New Roman" w:eastAsia="仿宋_GB2312" w:cs="DengXian-Regular"/>
          <w:sz w:val="32"/>
          <w:szCs w:val="32"/>
          <w:lang w:val="en-US" w:eastAsia="zh-CN"/>
        </w:rPr>
        <w:t>9</w:t>
      </w:r>
      <w:r>
        <w:rPr>
          <w:rFonts w:hint="eastAsia" w:ascii="仿宋_GB2312" w:hAnsi="Times New Roman" w:eastAsia="仿宋_GB2312" w:cs="DengXian-Regular"/>
          <w:sz w:val="32"/>
          <w:szCs w:val="32"/>
        </w:rPr>
        <w:t>%，主要是</w:t>
      </w:r>
      <w:r>
        <w:rPr>
          <w:rFonts w:hint="eastAsia" w:ascii="仿宋_GB2312" w:hAnsi="Times New Roman" w:eastAsia="仿宋_GB2312" w:cs="DengXian-Regular"/>
          <w:sz w:val="32"/>
          <w:szCs w:val="32"/>
          <w:lang w:eastAsia="zh-CN"/>
        </w:rPr>
        <w:t>本年大型设备购置减少</w:t>
      </w:r>
      <w:r>
        <w:rPr>
          <w:rFonts w:hint="eastAsia" w:ascii="仿宋_GB2312" w:hAnsi="Times New Roman" w:eastAsia="仿宋_GB2312" w:cs="DengXian-Regular"/>
          <w:sz w:val="32"/>
          <w:szCs w:val="32"/>
        </w:rPr>
        <w:t>。</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2.政府性基金预算财政拨款本年收入</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w:t>
      </w:r>
      <w:r>
        <w:rPr>
          <w:rFonts w:hint="eastAsia" w:ascii="仿宋_GB2312" w:hAnsi="Times New Roman" w:eastAsia="仿宋_GB2312" w:cs="DengXian-Regular"/>
          <w:sz w:val="32"/>
          <w:szCs w:val="32"/>
          <w:lang w:eastAsia="zh-CN"/>
        </w:rPr>
        <w:t>与</w:t>
      </w:r>
      <w:r>
        <w:rPr>
          <w:rFonts w:hint="eastAsia" w:ascii="仿宋_GB2312" w:hAnsi="Times New Roman" w:eastAsia="仿宋_GB2312" w:cs="DengXian-Regular"/>
          <w:sz w:val="32"/>
          <w:szCs w:val="32"/>
        </w:rPr>
        <w:t>上年</w:t>
      </w:r>
      <w:r>
        <w:rPr>
          <w:rFonts w:hint="eastAsia" w:ascii="仿宋_GB2312" w:hAnsi="Times New Roman" w:eastAsia="仿宋_GB2312" w:cs="DengXian-Regular"/>
          <w:sz w:val="32"/>
          <w:szCs w:val="32"/>
          <w:lang w:eastAsia="zh-CN"/>
        </w:rPr>
        <w:t>持平</w:t>
      </w:r>
      <w:r>
        <w:rPr>
          <w:rFonts w:hint="eastAsia" w:ascii="仿宋_GB2312" w:hAnsi="Times New Roman" w:eastAsia="仿宋_GB2312" w:cs="DengXian-Regular"/>
          <w:sz w:val="32"/>
          <w:szCs w:val="32"/>
        </w:rPr>
        <w:t>；本年支出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w:t>
      </w:r>
      <w:r>
        <w:rPr>
          <w:rFonts w:hint="eastAsia" w:ascii="仿宋_GB2312" w:hAnsi="Times New Roman" w:eastAsia="仿宋_GB2312" w:cs="DengXian-Regular"/>
          <w:sz w:val="32"/>
          <w:szCs w:val="32"/>
          <w:lang w:eastAsia="zh-CN"/>
        </w:rPr>
        <w:t>与</w:t>
      </w:r>
      <w:r>
        <w:rPr>
          <w:rFonts w:hint="eastAsia" w:ascii="仿宋_GB2312" w:hAnsi="Times New Roman" w:eastAsia="仿宋_GB2312" w:cs="DengXian-Regular"/>
          <w:sz w:val="32"/>
          <w:szCs w:val="32"/>
        </w:rPr>
        <w:t>上年</w:t>
      </w:r>
      <w:r>
        <w:rPr>
          <w:rFonts w:hint="eastAsia" w:ascii="仿宋_GB2312" w:hAnsi="Times New Roman" w:eastAsia="仿宋_GB2312" w:cs="DengXian-Regular"/>
          <w:sz w:val="32"/>
          <w:szCs w:val="32"/>
          <w:lang w:eastAsia="zh-CN"/>
        </w:rPr>
        <w:t>持平</w:t>
      </w:r>
      <w:r>
        <w:rPr>
          <w:rFonts w:hint="eastAsia" w:ascii="仿宋_GB2312" w:hAnsi="Times New Roman" w:eastAsia="仿宋_GB2312" w:cs="DengXian-Regular"/>
          <w:sz w:val="32"/>
          <w:szCs w:val="32"/>
        </w:rPr>
        <w:t>。</w:t>
      </w:r>
    </w:p>
    <w:p>
      <w:pPr>
        <w:adjustRightInd w:val="0"/>
        <w:snapToGrid w:val="0"/>
        <w:spacing w:line="580" w:lineRule="exact"/>
        <w:ind w:firstLine="420" w:firstLineChars="200"/>
        <w:rPr>
          <w:rFonts w:ascii="仿宋_GB2312" w:hAnsi="Times New Roman" w:eastAsia="仿宋_GB2312" w:cs="DengXian-Regular"/>
          <w:sz w:val="32"/>
          <w:szCs w:val="32"/>
          <w:highlight w:val="yellow"/>
        </w:rPr>
      </w:pPr>
      <w:r>
        <w:drawing>
          <wp:anchor distT="0" distB="0" distL="114300" distR="114300" simplePos="0" relativeHeight="251673600" behindDoc="0" locked="0" layoutInCell="1" allowOverlap="1">
            <wp:simplePos x="0" y="0"/>
            <wp:positionH relativeFrom="column">
              <wp:posOffset>261620</wp:posOffset>
            </wp:positionH>
            <wp:positionV relativeFrom="paragraph">
              <wp:posOffset>756285</wp:posOffset>
            </wp:positionV>
            <wp:extent cx="5120640" cy="3114675"/>
            <wp:effectExtent l="4445" t="4445" r="18415" b="5080"/>
            <wp:wrapTopAndBottom/>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Pr>
          <w:rFonts w:hint="eastAsia" w:ascii="仿宋_GB2312" w:hAnsi="Times New Roman" w:eastAsia="仿宋_GB2312" w:cs="DengXian-Regular"/>
          <w:sz w:val="32"/>
          <w:szCs w:val="32"/>
        </w:rPr>
        <w:t>3.国有资本经营预算财政拨款本年收入</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w:t>
      </w:r>
      <w:r>
        <w:rPr>
          <w:rFonts w:hint="eastAsia" w:ascii="仿宋_GB2312" w:hAnsi="Times New Roman" w:eastAsia="仿宋_GB2312" w:cs="DengXian-Regular"/>
          <w:sz w:val="32"/>
          <w:szCs w:val="32"/>
          <w:lang w:eastAsia="zh-CN"/>
        </w:rPr>
        <w:t>与</w:t>
      </w:r>
      <w:r>
        <w:rPr>
          <w:rFonts w:hint="eastAsia" w:ascii="仿宋_GB2312" w:hAnsi="Times New Roman" w:eastAsia="仿宋_GB2312" w:cs="DengXian-Regular"/>
          <w:sz w:val="32"/>
          <w:szCs w:val="32"/>
        </w:rPr>
        <w:t>上年</w:t>
      </w:r>
      <w:r>
        <w:rPr>
          <w:rFonts w:hint="eastAsia" w:ascii="仿宋_GB2312" w:hAnsi="Times New Roman" w:eastAsia="仿宋_GB2312" w:cs="DengXian-Regular"/>
          <w:sz w:val="32"/>
          <w:szCs w:val="32"/>
          <w:lang w:eastAsia="zh-CN"/>
        </w:rPr>
        <w:t>持平</w:t>
      </w:r>
      <w:r>
        <w:rPr>
          <w:rFonts w:hint="eastAsia" w:ascii="仿宋_GB2312" w:hAnsi="Times New Roman" w:eastAsia="仿宋_GB2312" w:cs="DengXian-Regular"/>
          <w:sz w:val="32"/>
          <w:szCs w:val="32"/>
        </w:rPr>
        <w:t>；本年支出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w:t>
      </w:r>
      <w:r>
        <w:rPr>
          <w:rFonts w:hint="eastAsia" w:ascii="仿宋_GB2312" w:hAnsi="Times New Roman" w:eastAsia="仿宋_GB2312" w:cs="DengXian-Regular"/>
          <w:sz w:val="32"/>
          <w:szCs w:val="32"/>
          <w:lang w:eastAsia="zh-CN"/>
        </w:rPr>
        <w:t>与</w:t>
      </w:r>
      <w:r>
        <w:rPr>
          <w:rFonts w:hint="eastAsia" w:ascii="仿宋_GB2312" w:hAnsi="Times New Roman" w:eastAsia="仿宋_GB2312" w:cs="DengXian-Regular"/>
          <w:sz w:val="32"/>
          <w:szCs w:val="32"/>
        </w:rPr>
        <w:t>上年</w:t>
      </w:r>
      <w:r>
        <w:rPr>
          <w:rFonts w:hint="eastAsia" w:ascii="仿宋_GB2312" w:hAnsi="Times New Roman" w:eastAsia="仿宋_GB2312" w:cs="DengXian-Regular"/>
          <w:sz w:val="32"/>
          <w:szCs w:val="32"/>
          <w:lang w:eastAsia="zh-CN"/>
        </w:rPr>
        <w:t>持平</w:t>
      </w:r>
      <w:r>
        <w:rPr>
          <w:rFonts w:hint="eastAsia" w:ascii="仿宋_GB2312" w:hAnsi="Times New Roman" w:eastAsia="仿宋_GB2312" w:cs="DengXian-Regular"/>
          <w:sz w:val="32"/>
          <w:szCs w:val="32"/>
        </w:rPr>
        <w:t>。</w:t>
      </w:r>
    </w:p>
    <w:p>
      <w:pPr>
        <w:snapToGrid w:val="0"/>
        <w:spacing w:line="580" w:lineRule="exact"/>
        <w:ind w:firstLine="643" w:firstLineChars="200"/>
        <w:rPr>
          <w:rFonts w:ascii="仿宋_GB2312" w:hAnsi="Times New Roman" w:eastAsia="仿宋_GB2312" w:cs="DengXian-Bold"/>
          <w:b/>
          <w:bCs/>
          <w:sz w:val="32"/>
          <w:szCs w:val="32"/>
        </w:rPr>
      </w:pPr>
      <w:r>
        <w:rPr>
          <w:rFonts w:hint="eastAsia" w:ascii="楷体_GB2312" w:hAnsi="Times New Roman" w:eastAsia="楷体_GB2312" w:cs="DengXian-Bold"/>
          <w:b/>
          <w:bCs/>
          <w:sz w:val="32"/>
          <w:szCs w:val="32"/>
        </w:rPr>
        <w:t>（二）财政拨款收支与年初预算数对比情况</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2023年度财政拨款本年收入</w:t>
      </w:r>
      <w:r>
        <w:rPr>
          <w:rFonts w:hint="eastAsia" w:ascii="仿宋_GB2312" w:hAnsi="Times New Roman" w:eastAsia="仿宋_GB2312" w:cs="DengXian-Regular"/>
          <w:sz w:val="32"/>
          <w:szCs w:val="32"/>
          <w:lang w:val="en-US" w:eastAsia="zh-CN"/>
        </w:rPr>
        <w:t>325.59</w:t>
      </w:r>
      <w:r>
        <w:rPr>
          <w:rFonts w:hint="eastAsia" w:ascii="仿宋_GB2312" w:hAnsi="Times New Roman" w:eastAsia="仿宋_GB2312" w:cs="DengXian-Regular"/>
          <w:sz w:val="32"/>
          <w:szCs w:val="32"/>
        </w:rPr>
        <w:t>万元，完成年初预算的</w:t>
      </w:r>
      <w:r>
        <w:rPr>
          <w:rFonts w:hint="eastAsia" w:ascii="仿宋_GB2312" w:hAnsi="Times New Roman" w:eastAsia="仿宋_GB2312" w:cs="DengXian-Regular"/>
          <w:sz w:val="32"/>
          <w:szCs w:val="32"/>
          <w:lang w:val="en-US" w:eastAsia="zh-CN"/>
        </w:rPr>
        <w:t>10.2</w:t>
      </w:r>
      <w:r>
        <w:rPr>
          <w:rFonts w:hint="eastAsia" w:ascii="仿宋_GB2312" w:hAnsi="Times New Roman" w:eastAsia="仿宋_GB2312" w:cs="DengXian-Regular"/>
          <w:sz w:val="32"/>
          <w:szCs w:val="32"/>
        </w:rPr>
        <w:t>%,比年初预算减少2,867.44万元，决算数小于预算数主要原因是</w:t>
      </w:r>
      <w:r>
        <w:rPr>
          <w:rFonts w:hint="eastAsia" w:ascii="仿宋_GB2312" w:hAnsi="Times New Roman" w:eastAsia="仿宋_GB2312" w:cs="DengXian-Regular"/>
          <w:sz w:val="32"/>
          <w:szCs w:val="32"/>
          <w:lang w:eastAsia="zh-CN"/>
        </w:rPr>
        <w:t>两区合并导致预算调整</w:t>
      </w:r>
      <w:r>
        <w:rPr>
          <w:rFonts w:hint="eastAsia" w:ascii="仿宋_GB2312" w:hAnsi="Times New Roman" w:eastAsia="仿宋_GB2312" w:cs="DengXian-Regular"/>
          <w:sz w:val="32"/>
          <w:szCs w:val="32"/>
        </w:rPr>
        <w:t>；本年支出</w:t>
      </w:r>
      <w:r>
        <w:rPr>
          <w:rFonts w:hint="eastAsia" w:ascii="仿宋_GB2312" w:hAnsi="Times New Roman" w:eastAsia="仿宋_GB2312" w:cs="DengXian-Regular"/>
          <w:sz w:val="32"/>
          <w:szCs w:val="32"/>
          <w:lang w:val="en-US" w:eastAsia="zh-CN"/>
        </w:rPr>
        <w:t>384.23</w:t>
      </w:r>
      <w:r>
        <w:rPr>
          <w:rFonts w:hint="eastAsia" w:ascii="仿宋_GB2312" w:hAnsi="Times New Roman" w:eastAsia="仿宋_GB2312" w:cs="DengXian-Regular"/>
          <w:sz w:val="32"/>
          <w:szCs w:val="32"/>
        </w:rPr>
        <w:t>万元，完成年初预算的</w:t>
      </w:r>
      <w:r>
        <w:rPr>
          <w:rFonts w:hint="eastAsia" w:ascii="仿宋_GB2312" w:hAnsi="Times New Roman" w:eastAsia="仿宋_GB2312" w:cs="DengXian-Regular"/>
          <w:sz w:val="32"/>
          <w:szCs w:val="32"/>
          <w:lang w:val="en-US" w:eastAsia="zh-CN"/>
        </w:rPr>
        <w:t>12.1</w:t>
      </w:r>
      <w:r>
        <w:rPr>
          <w:rFonts w:hint="eastAsia" w:ascii="仿宋_GB2312" w:hAnsi="Times New Roman" w:eastAsia="仿宋_GB2312" w:cs="DengXian-Regular"/>
          <w:sz w:val="32"/>
          <w:szCs w:val="32"/>
        </w:rPr>
        <w:t>%,比年初预算减少2,808.8万元，决算数小于预算数主要原因是</w:t>
      </w:r>
      <w:r>
        <w:rPr>
          <w:rFonts w:hint="eastAsia" w:ascii="仿宋_GB2312" w:hAnsi="Times New Roman" w:eastAsia="仿宋_GB2312" w:cs="DengXian-Regular"/>
          <w:sz w:val="32"/>
          <w:szCs w:val="32"/>
          <w:lang w:eastAsia="zh-CN"/>
        </w:rPr>
        <w:t>两区合并导致预算调整</w:t>
      </w:r>
      <w:r>
        <w:rPr>
          <w:rFonts w:hint="eastAsia" w:ascii="仿宋_GB2312" w:hAnsi="Times New Roman" w:eastAsia="仿宋_GB2312" w:cs="DengXian-Regular"/>
          <w:sz w:val="32"/>
          <w:szCs w:val="32"/>
        </w:rPr>
        <w:t>。具体情况如下：</w:t>
      </w:r>
    </w:p>
    <w:p>
      <w:pPr>
        <w:adjustRightInd w:val="0"/>
        <w:snapToGrid w:val="0"/>
        <w:spacing w:line="580" w:lineRule="exact"/>
        <w:ind w:firstLine="420" w:firstLineChars="200"/>
        <w:rPr>
          <w:rFonts w:ascii="仿宋_GB2312" w:hAnsi="Times New Roman" w:eastAsia="仿宋_GB2312" w:cs="DengXian-Regular"/>
          <w:sz w:val="32"/>
          <w:szCs w:val="32"/>
        </w:rPr>
      </w:pPr>
      <w:r>
        <w:drawing>
          <wp:anchor distT="0" distB="0" distL="114300" distR="114300" simplePos="0" relativeHeight="251674624" behindDoc="0" locked="0" layoutInCell="1" allowOverlap="1">
            <wp:simplePos x="0" y="0"/>
            <wp:positionH relativeFrom="column">
              <wp:posOffset>406400</wp:posOffset>
            </wp:positionH>
            <wp:positionV relativeFrom="paragraph">
              <wp:posOffset>3763010</wp:posOffset>
            </wp:positionV>
            <wp:extent cx="4826000" cy="2743200"/>
            <wp:effectExtent l="4445" t="4445" r="8255" b="14605"/>
            <wp:wrapTopAndBottom/>
            <wp:docPr id="1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Pr>
          <w:rFonts w:hint="eastAsia" w:ascii="仿宋_GB2312" w:hAnsi="Times New Roman" w:eastAsia="仿宋_GB2312" w:cs="DengXian-Regular"/>
          <w:sz w:val="32"/>
          <w:szCs w:val="32"/>
        </w:rPr>
        <w:t>1.一般公共预算财政拨款本年收入325.59万元，完成年初预算</w:t>
      </w:r>
      <w:r>
        <w:rPr>
          <w:rFonts w:hint="eastAsia" w:ascii="仿宋_GB2312" w:hAnsi="Times New Roman" w:eastAsia="仿宋_GB2312" w:cs="DengXian-Regular"/>
          <w:sz w:val="32"/>
          <w:szCs w:val="32"/>
          <w:lang w:val="en-US" w:eastAsia="zh-CN"/>
        </w:rPr>
        <w:t>14.7</w:t>
      </w:r>
      <w:r>
        <w:rPr>
          <w:rFonts w:hint="eastAsia" w:ascii="仿宋_GB2312" w:hAnsi="Times New Roman" w:eastAsia="仿宋_GB2312" w:cs="DengXian-Regular"/>
          <w:sz w:val="32"/>
          <w:szCs w:val="32"/>
        </w:rPr>
        <w:t>%，比年初预算减少1,892.99万元，主要是</w:t>
      </w:r>
      <w:r>
        <w:rPr>
          <w:rFonts w:hint="eastAsia" w:ascii="仿宋_GB2312" w:hAnsi="Times New Roman" w:eastAsia="仿宋_GB2312" w:cs="DengXian-Regular"/>
          <w:sz w:val="32"/>
          <w:szCs w:val="32"/>
          <w:lang w:eastAsia="zh-CN"/>
        </w:rPr>
        <w:t>两区合并导致预算调整</w:t>
      </w:r>
      <w:r>
        <w:rPr>
          <w:rFonts w:hint="eastAsia" w:ascii="仿宋_GB2312" w:hAnsi="Times New Roman" w:eastAsia="仿宋_GB2312" w:cs="DengXian-Regular"/>
          <w:sz w:val="32"/>
          <w:szCs w:val="32"/>
        </w:rPr>
        <w:t>；</w:t>
      </w:r>
      <w:r>
        <w:rPr>
          <w:rFonts w:hint="eastAsia" w:ascii="仿宋_GB2312" w:hAnsi="Times New Roman" w:eastAsia="仿宋_GB2312" w:cs="DengXian-Regular"/>
          <w:sz w:val="32"/>
          <w:szCs w:val="32"/>
          <w:lang w:eastAsia="zh-CN"/>
        </w:rPr>
        <w:t>本年支出</w:t>
      </w:r>
      <w:r>
        <w:rPr>
          <w:rFonts w:hint="eastAsia" w:ascii="仿宋_GB2312" w:hAnsi="Times New Roman" w:eastAsia="仿宋_GB2312" w:cs="DengXian-Regular"/>
          <w:sz w:val="32"/>
          <w:szCs w:val="32"/>
        </w:rPr>
        <w:t>384.23万元，完成年初预算</w:t>
      </w:r>
      <w:r>
        <w:rPr>
          <w:rFonts w:hint="eastAsia" w:ascii="仿宋_GB2312" w:hAnsi="Times New Roman" w:eastAsia="仿宋_GB2312" w:cs="DengXian-Regular"/>
          <w:sz w:val="32"/>
          <w:szCs w:val="32"/>
          <w:lang w:val="en-US" w:eastAsia="zh-CN"/>
        </w:rPr>
        <w:t>17.3</w:t>
      </w:r>
      <w:r>
        <w:rPr>
          <w:rFonts w:hint="eastAsia" w:ascii="仿宋_GB2312" w:hAnsi="Times New Roman" w:eastAsia="仿宋_GB2312" w:cs="DengXian-Regular"/>
          <w:sz w:val="32"/>
          <w:szCs w:val="32"/>
        </w:rPr>
        <w:t>%，比年初预算减少1,834.35万元，主要是</w:t>
      </w:r>
      <w:r>
        <w:rPr>
          <w:rFonts w:hint="eastAsia" w:ascii="仿宋_GB2312" w:hAnsi="Times New Roman" w:eastAsia="仿宋_GB2312" w:cs="DengXian-Regular"/>
          <w:sz w:val="32"/>
          <w:szCs w:val="32"/>
          <w:lang w:eastAsia="zh-CN"/>
        </w:rPr>
        <w:t>两区合并导致预算调整</w:t>
      </w:r>
      <w:r>
        <w:rPr>
          <w:rFonts w:hint="eastAsia" w:ascii="仿宋_GB2312" w:hAnsi="Times New Roman" w:eastAsia="仿宋_GB2312" w:cs="DengXian-Regular"/>
          <w:sz w:val="32"/>
          <w:szCs w:val="32"/>
        </w:rPr>
        <w:t>。</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2.政府性基金预算财政拨款本年收入</w:t>
      </w:r>
      <w:r>
        <w:rPr>
          <w:rFonts w:hint="eastAsia" w:ascii="仿宋_GB2312" w:hAnsi="Times New Roman" w:eastAsia="仿宋_GB2312" w:cs="DengXian-Regular"/>
          <w:sz w:val="32"/>
          <w:szCs w:val="32"/>
          <w:lang w:val="en-US" w:eastAsia="zh-CN"/>
        </w:rPr>
        <w:t>0万元，</w:t>
      </w:r>
      <w:r>
        <w:rPr>
          <w:rFonts w:hint="eastAsia" w:ascii="仿宋_GB2312" w:hAnsi="Times New Roman" w:eastAsia="仿宋_GB2312" w:cs="DengXian-Regular"/>
          <w:sz w:val="32"/>
          <w:szCs w:val="32"/>
        </w:rPr>
        <w:t>完成年初预算</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%，比年初预算减少974.45万元，主要是</w:t>
      </w:r>
      <w:r>
        <w:rPr>
          <w:rFonts w:hint="eastAsia" w:ascii="仿宋_GB2312" w:hAnsi="Times New Roman" w:eastAsia="仿宋_GB2312" w:cs="DengXian-Regular"/>
          <w:sz w:val="32"/>
          <w:szCs w:val="32"/>
          <w:lang w:eastAsia="zh-CN"/>
        </w:rPr>
        <w:t>两区合并导致预算调整</w:t>
      </w:r>
      <w:r>
        <w:rPr>
          <w:rFonts w:hint="eastAsia" w:ascii="仿宋_GB2312" w:hAnsi="Times New Roman" w:eastAsia="仿宋_GB2312" w:cs="DengXian-Regular"/>
          <w:sz w:val="32"/>
          <w:szCs w:val="32"/>
        </w:rPr>
        <w:t>；</w:t>
      </w:r>
      <w:r>
        <w:rPr>
          <w:rFonts w:hint="eastAsia" w:ascii="仿宋_GB2312" w:hAnsi="Times New Roman" w:eastAsia="仿宋_GB2312" w:cs="DengXian-Regular"/>
          <w:sz w:val="32"/>
          <w:szCs w:val="32"/>
          <w:lang w:eastAsia="zh-CN"/>
        </w:rPr>
        <w:t>本年</w:t>
      </w:r>
      <w:r>
        <w:rPr>
          <w:rFonts w:hint="eastAsia" w:ascii="仿宋_GB2312" w:hAnsi="Times New Roman" w:eastAsia="仿宋_GB2312" w:cs="DengXian-Regular"/>
          <w:sz w:val="32"/>
          <w:szCs w:val="32"/>
        </w:rPr>
        <w:t>支出</w:t>
      </w:r>
      <w:r>
        <w:rPr>
          <w:rFonts w:hint="eastAsia" w:ascii="仿宋_GB2312" w:hAnsi="Times New Roman" w:eastAsia="仿宋_GB2312" w:cs="DengXian-Regular"/>
          <w:sz w:val="32"/>
          <w:szCs w:val="32"/>
          <w:lang w:val="en-US" w:eastAsia="zh-CN"/>
        </w:rPr>
        <w:t>0万元，</w:t>
      </w:r>
      <w:r>
        <w:rPr>
          <w:rFonts w:hint="eastAsia" w:ascii="仿宋_GB2312" w:hAnsi="Times New Roman" w:eastAsia="仿宋_GB2312" w:cs="DengXian-Regular"/>
          <w:sz w:val="32"/>
          <w:szCs w:val="32"/>
        </w:rPr>
        <w:t>完成年初预算</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%，比年初预算减少974.45万元，主要是</w:t>
      </w:r>
      <w:r>
        <w:rPr>
          <w:rFonts w:hint="eastAsia" w:ascii="仿宋_GB2312" w:hAnsi="Times New Roman" w:eastAsia="仿宋_GB2312" w:cs="DengXian-Regular"/>
          <w:sz w:val="32"/>
          <w:szCs w:val="32"/>
          <w:lang w:eastAsia="zh-CN"/>
        </w:rPr>
        <w:t>两区合并导致预算调整</w:t>
      </w:r>
      <w:r>
        <w:rPr>
          <w:rFonts w:hint="eastAsia" w:ascii="仿宋_GB2312" w:hAnsi="Times New Roman" w:eastAsia="仿宋_GB2312" w:cs="DengXian-Regular"/>
          <w:sz w:val="32"/>
          <w:szCs w:val="32"/>
        </w:rPr>
        <w:t>。</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3.国有资本经营预算财政拨款本年收入</w:t>
      </w:r>
      <w:r>
        <w:rPr>
          <w:rFonts w:hint="eastAsia" w:ascii="仿宋_GB2312" w:hAnsi="Times New Roman" w:eastAsia="仿宋_GB2312" w:cs="DengXian-Regular"/>
          <w:sz w:val="32"/>
          <w:szCs w:val="32"/>
          <w:lang w:val="en-US" w:eastAsia="zh-CN"/>
        </w:rPr>
        <w:t>0万元，</w:t>
      </w:r>
      <w:r>
        <w:rPr>
          <w:rFonts w:hint="eastAsia" w:ascii="仿宋_GB2312" w:hAnsi="Times New Roman" w:eastAsia="仿宋_GB2312" w:cs="DengXian-Regular"/>
          <w:sz w:val="32"/>
          <w:szCs w:val="32"/>
          <w:lang w:eastAsia="zh-CN"/>
        </w:rPr>
        <w:t>与</w:t>
      </w:r>
      <w:r>
        <w:rPr>
          <w:rFonts w:hint="eastAsia" w:ascii="仿宋_GB2312" w:hAnsi="Times New Roman" w:eastAsia="仿宋_GB2312" w:cs="DengXian-Regular"/>
          <w:sz w:val="32"/>
          <w:szCs w:val="32"/>
        </w:rPr>
        <w:t>年初预算</w:t>
      </w:r>
      <w:r>
        <w:rPr>
          <w:rFonts w:hint="eastAsia" w:ascii="仿宋_GB2312" w:hAnsi="Times New Roman" w:eastAsia="仿宋_GB2312" w:cs="DengXian-Regular"/>
          <w:sz w:val="32"/>
          <w:szCs w:val="32"/>
          <w:lang w:eastAsia="zh-CN"/>
        </w:rPr>
        <w:t>持平</w:t>
      </w:r>
      <w:r>
        <w:rPr>
          <w:rFonts w:hint="eastAsia" w:ascii="仿宋_GB2312" w:hAnsi="Times New Roman" w:eastAsia="仿宋_GB2312" w:cs="DengXian-Regular"/>
          <w:sz w:val="32"/>
          <w:szCs w:val="32"/>
        </w:rPr>
        <w:t>；</w:t>
      </w:r>
      <w:r>
        <w:rPr>
          <w:rFonts w:hint="eastAsia" w:ascii="仿宋_GB2312" w:hAnsi="Times New Roman" w:eastAsia="仿宋_GB2312" w:cs="DengXian-Regular"/>
          <w:sz w:val="32"/>
          <w:szCs w:val="32"/>
          <w:lang w:eastAsia="zh-CN"/>
        </w:rPr>
        <w:t>本年</w:t>
      </w:r>
      <w:r>
        <w:rPr>
          <w:rFonts w:hint="eastAsia" w:ascii="仿宋_GB2312" w:hAnsi="Times New Roman" w:eastAsia="仿宋_GB2312" w:cs="DengXian-Regular"/>
          <w:sz w:val="32"/>
          <w:szCs w:val="32"/>
        </w:rPr>
        <w:t>支出</w:t>
      </w:r>
      <w:r>
        <w:rPr>
          <w:rFonts w:hint="eastAsia" w:ascii="仿宋_GB2312" w:hAnsi="Times New Roman" w:eastAsia="仿宋_GB2312" w:cs="DengXian-Regular"/>
          <w:sz w:val="32"/>
          <w:szCs w:val="32"/>
          <w:lang w:val="en-US" w:eastAsia="zh-CN"/>
        </w:rPr>
        <w:t>0万元，</w:t>
      </w:r>
      <w:r>
        <w:rPr>
          <w:rFonts w:hint="eastAsia" w:ascii="仿宋_GB2312" w:hAnsi="Times New Roman" w:eastAsia="仿宋_GB2312" w:cs="DengXian-Regular"/>
          <w:sz w:val="32"/>
          <w:szCs w:val="32"/>
          <w:lang w:eastAsia="zh-CN"/>
        </w:rPr>
        <w:t>与</w:t>
      </w:r>
      <w:r>
        <w:rPr>
          <w:rFonts w:hint="eastAsia" w:ascii="仿宋_GB2312" w:hAnsi="Times New Roman" w:eastAsia="仿宋_GB2312" w:cs="DengXian-Regular"/>
          <w:sz w:val="32"/>
          <w:szCs w:val="32"/>
        </w:rPr>
        <w:t>年初预算</w:t>
      </w:r>
      <w:r>
        <w:rPr>
          <w:rFonts w:hint="eastAsia" w:ascii="仿宋_GB2312" w:hAnsi="Times New Roman" w:eastAsia="仿宋_GB2312" w:cs="DengXian-Regular"/>
          <w:sz w:val="32"/>
          <w:szCs w:val="32"/>
          <w:lang w:eastAsia="zh-CN"/>
        </w:rPr>
        <w:t>持平</w:t>
      </w:r>
      <w:r>
        <w:rPr>
          <w:rFonts w:hint="eastAsia" w:ascii="仿宋_GB2312" w:hAnsi="Times New Roman" w:eastAsia="仿宋_GB2312" w:cs="DengXian-Regular"/>
          <w:sz w:val="32"/>
          <w:szCs w:val="32"/>
        </w:rPr>
        <w:t>。</w:t>
      </w:r>
    </w:p>
    <w:p>
      <w:pPr>
        <w:numPr>
          <w:ilvl w:val="0"/>
          <w:numId w:val="2"/>
        </w:numPr>
        <w:adjustRightInd w:val="0"/>
        <w:snapToGrid w:val="0"/>
        <w:spacing w:line="580" w:lineRule="exact"/>
        <w:ind w:left="420" w:leftChars="200"/>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财政拨款支出决算结构情况</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lang w:eastAsia="zh-CN"/>
        </w:rPr>
        <w:t>本单位</w:t>
      </w:r>
      <w:r>
        <w:rPr>
          <w:rFonts w:hint="eastAsia" w:ascii="仿宋_GB2312" w:hAnsi="Times New Roman" w:eastAsia="仿宋_GB2312" w:cs="DengXian-Regular"/>
          <w:sz w:val="32"/>
          <w:szCs w:val="32"/>
        </w:rPr>
        <w:t>2023年度财政拨款支出384.23万元，</w:t>
      </w:r>
      <w:r>
        <w:rPr>
          <w:rFonts w:hint="eastAsia" w:ascii="仿宋_GB2312" w:hAnsi="Times New Roman" w:eastAsia="仿宋_GB2312" w:cs="DengXian-Regular"/>
          <w:sz w:val="32"/>
          <w:szCs w:val="32"/>
          <w:lang w:eastAsia="zh-CN"/>
        </w:rPr>
        <w:t>全部</w:t>
      </w:r>
      <w:r>
        <w:rPr>
          <w:rFonts w:hint="eastAsia" w:ascii="仿宋_GB2312" w:hAnsi="Times New Roman" w:eastAsia="仿宋_GB2312" w:cs="DengXian-Regular"/>
          <w:sz w:val="32"/>
          <w:szCs w:val="32"/>
        </w:rPr>
        <w:t>用于卫生健康（类）支出384.23万元，占100%。</w:t>
      </w:r>
    </w:p>
    <w:p>
      <w:pPr>
        <w:adjustRightInd w:val="0"/>
        <w:snapToGrid w:val="0"/>
        <w:spacing w:line="580" w:lineRule="exact"/>
        <w:ind w:left="420" w:leftChars="200"/>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（四）一般公共预算基本支出决算情况说明</w:t>
      </w:r>
    </w:p>
    <w:p>
      <w:pPr>
        <w:keepNext/>
        <w:keepLines/>
        <w:snapToGrid w:val="0"/>
        <w:spacing w:line="580" w:lineRule="exact"/>
        <w:ind w:firstLine="640" w:firstLineChars="200"/>
        <w:outlineLvl w:val="1"/>
        <w:rPr>
          <w:rFonts w:hint="eastAsia" w:ascii="仿宋_GB2312" w:hAnsi="Times New Roman" w:eastAsia="仿宋_GB2312" w:cs="DengXian-Regular"/>
          <w:sz w:val="32"/>
          <w:szCs w:val="32"/>
        </w:rPr>
      </w:pPr>
      <w:r>
        <w:rPr>
          <w:rFonts w:hint="eastAsia" w:ascii="仿宋_GB2312" w:hAnsi="Times New Roman" w:eastAsia="仿宋_GB2312" w:cs="DengXian-Regular"/>
          <w:sz w:val="32"/>
          <w:szCs w:val="32"/>
        </w:rPr>
        <w:t>本单位202</w:t>
      </w:r>
      <w:r>
        <w:rPr>
          <w:rFonts w:hint="eastAsia" w:ascii="仿宋_GB2312" w:hAnsi="Times New Roman" w:eastAsia="仿宋_GB2312" w:cs="DengXian-Regular"/>
          <w:sz w:val="32"/>
          <w:szCs w:val="32"/>
          <w:lang w:val="en-US" w:eastAsia="zh-CN"/>
        </w:rPr>
        <w:t>3</w:t>
      </w:r>
      <w:r>
        <w:rPr>
          <w:rFonts w:hint="eastAsia" w:ascii="仿宋_GB2312" w:hAnsi="Times New Roman" w:eastAsia="仿宋_GB2312" w:cs="DengXian-Regular"/>
          <w:sz w:val="32"/>
          <w:szCs w:val="32"/>
        </w:rPr>
        <w:t>年度无一般公共预算财政拨款基本支出，按要求以空表列示。</w:t>
      </w:r>
    </w:p>
    <w:p>
      <w:pPr>
        <w:keepNext/>
        <w:keepLines/>
        <w:snapToGrid w:val="0"/>
        <w:spacing w:line="580" w:lineRule="exact"/>
        <w:ind w:firstLine="640" w:firstLineChars="200"/>
        <w:outlineLvl w:val="1"/>
        <w:rPr>
          <w:rFonts w:ascii="黑体" w:hAnsi="Calibri" w:eastAsia="黑体" w:cs="Times New Roman"/>
          <w:sz w:val="32"/>
          <w:szCs w:val="32"/>
        </w:rPr>
      </w:pPr>
      <w:r>
        <w:rPr>
          <w:rFonts w:hint="eastAsia" w:ascii="黑体" w:hAnsi="Calibri" w:eastAsia="黑体" w:cs="Times New Roman"/>
          <w:sz w:val="32"/>
          <w:szCs w:val="32"/>
        </w:rPr>
        <w:t>五、财政拨款“三公” 经费支出决算情况说明</w:t>
      </w:r>
    </w:p>
    <w:p>
      <w:pPr>
        <w:adjustRightInd w:val="0"/>
        <w:snapToGrid w:val="0"/>
        <w:spacing w:line="580" w:lineRule="exact"/>
        <w:ind w:firstLine="643" w:firstLineChars="200"/>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（一）“三公”经费财政拨款支出决算总体情况说明</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2023年度“三公”经费财政拨款支出预算为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万元，支出决算为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w:t>
      </w:r>
      <w:r>
        <w:rPr>
          <w:rFonts w:hint="eastAsia" w:ascii="仿宋_GB2312" w:hAnsi="Times New Roman" w:eastAsia="仿宋_GB2312" w:cs="DengXian-Regular"/>
          <w:sz w:val="32"/>
          <w:szCs w:val="32"/>
          <w:lang w:eastAsia="zh-CN"/>
        </w:rPr>
        <w:t>与年初预算持平</w:t>
      </w:r>
      <w:r>
        <w:rPr>
          <w:rFonts w:hint="eastAsia" w:ascii="仿宋_GB2312" w:hAnsi="Times New Roman" w:eastAsia="仿宋_GB2312" w:cs="DengXian-Regular"/>
          <w:sz w:val="32"/>
          <w:szCs w:val="32"/>
        </w:rPr>
        <w:t>；较2022年度决算</w:t>
      </w:r>
      <w:r>
        <w:rPr>
          <w:rFonts w:hint="eastAsia" w:ascii="仿宋_GB2312" w:hAnsi="Times New Roman" w:eastAsia="仿宋_GB2312" w:cs="DengXian-Regular"/>
          <w:sz w:val="32"/>
          <w:szCs w:val="32"/>
          <w:lang w:eastAsia="zh-CN"/>
        </w:rPr>
        <w:t>持平</w:t>
      </w:r>
      <w:r>
        <w:rPr>
          <w:rFonts w:hint="eastAsia" w:ascii="仿宋_GB2312" w:hAnsi="Times New Roman" w:eastAsia="仿宋_GB2312" w:cs="DengXian-Regular"/>
          <w:sz w:val="32"/>
          <w:szCs w:val="32"/>
        </w:rPr>
        <w:t>。</w:t>
      </w:r>
    </w:p>
    <w:p>
      <w:pPr>
        <w:adjustRightInd w:val="0"/>
        <w:snapToGrid w:val="0"/>
        <w:spacing w:line="580" w:lineRule="exact"/>
        <w:ind w:firstLine="643" w:firstLineChars="200"/>
        <w:rPr>
          <w:rFonts w:ascii="楷体_GB2312" w:hAnsi="Times New Roman" w:eastAsia="楷体_GB2312" w:cs="DengXian-Bold"/>
          <w:b/>
          <w:bCs/>
          <w:sz w:val="32"/>
          <w:szCs w:val="32"/>
          <w:highlight w:val="none"/>
        </w:rPr>
      </w:pPr>
      <w:r>
        <w:rPr>
          <w:rFonts w:hint="eastAsia" w:ascii="楷体_GB2312" w:hAnsi="Times New Roman" w:eastAsia="楷体_GB2312" w:cs="DengXian-Bold"/>
          <w:b/>
          <w:bCs/>
          <w:sz w:val="32"/>
          <w:szCs w:val="32"/>
        </w:rPr>
        <w:t>（</w:t>
      </w:r>
      <w:r>
        <w:rPr>
          <w:rFonts w:hint="eastAsia" w:ascii="楷体_GB2312" w:hAnsi="Times New Roman" w:eastAsia="楷体_GB2312" w:cs="DengXian-Bold"/>
          <w:b/>
          <w:bCs/>
          <w:sz w:val="32"/>
          <w:szCs w:val="32"/>
          <w:highlight w:val="none"/>
        </w:rPr>
        <w:t>二）“三公”经费财政拨款支出决算具体情况说明</w:t>
      </w:r>
    </w:p>
    <w:p>
      <w:pPr>
        <w:adjustRightInd w:val="0"/>
        <w:snapToGrid w:val="0"/>
        <w:spacing w:line="580" w:lineRule="exact"/>
        <w:ind w:firstLine="643" w:firstLineChars="200"/>
        <w:rPr>
          <w:rFonts w:ascii="仿宋_GB2312" w:hAnsi="Times New Roman" w:eastAsia="仿宋_GB2312" w:cs="DengXian-Regular"/>
          <w:sz w:val="32"/>
          <w:szCs w:val="32"/>
        </w:rPr>
      </w:pPr>
      <w:r>
        <w:rPr>
          <w:rFonts w:hint="eastAsia" w:ascii="楷体_GB2312" w:hAnsi="Times New Roman" w:eastAsia="楷体_GB2312" w:cs="DengXian-Bold"/>
          <w:b/>
          <w:bCs/>
          <w:sz w:val="32"/>
          <w:szCs w:val="32"/>
        </w:rPr>
        <w:t>1.因公出国（境）费支出情况。</w:t>
      </w: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2023年度因公出国（境）费</w:t>
      </w:r>
      <w:r>
        <w:rPr>
          <w:rFonts w:hint="eastAsia" w:ascii="仿宋_GB2312" w:hAnsi="Times New Roman" w:eastAsia="仿宋_GB2312" w:cs="DengXian-Regular"/>
          <w:sz w:val="32"/>
          <w:szCs w:val="32"/>
          <w:lang w:eastAsia="zh-CN"/>
        </w:rPr>
        <w:t>财政拨款</w:t>
      </w:r>
      <w:r>
        <w:rPr>
          <w:rFonts w:hint="eastAsia" w:ascii="仿宋_GB2312" w:hAnsi="Times New Roman" w:eastAsia="仿宋_GB2312" w:cs="DengXian-Regular"/>
          <w:sz w:val="32"/>
          <w:szCs w:val="32"/>
        </w:rPr>
        <w:t>支出预算为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万元，支出决算</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w:t>
      </w:r>
      <w:r>
        <w:rPr>
          <w:rFonts w:hint="eastAsia" w:ascii="仿宋_GB2312" w:hAnsi="Times New Roman" w:eastAsia="仿宋_GB2312" w:cs="DengXian-Regular"/>
          <w:sz w:val="32"/>
          <w:szCs w:val="32"/>
          <w:lang w:eastAsia="zh-CN"/>
        </w:rPr>
        <w:t>与预算持平</w:t>
      </w:r>
      <w:r>
        <w:rPr>
          <w:rFonts w:hint="eastAsia" w:ascii="仿宋_GB2312" w:hAnsi="Times New Roman" w:eastAsia="仿宋_GB2312" w:cs="DengXian-Regular"/>
          <w:sz w:val="32"/>
          <w:szCs w:val="32"/>
        </w:rPr>
        <w:t>。因公出国（境）费支出</w:t>
      </w:r>
      <w:r>
        <w:rPr>
          <w:rFonts w:hint="eastAsia" w:ascii="仿宋_GB2312" w:hAnsi="Times New Roman" w:eastAsia="仿宋_GB2312" w:cs="DengXian-Regular"/>
          <w:sz w:val="32"/>
          <w:szCs w:val="32"/>
          <w:lang w:eastAsia="zh-CN"/>
        </w:rPr>
        <w:t>与</w:t>
      </w:r>
      <w:r>
        <w:rPr>
          <w:rFonts w:hint="eastAsia" w:ascii="仿宋_GB2312" w:hAnsi="Times New Roman" w:eastAsia="仿宋_GB2312" w:cs="DengXian-Regular"/>
          <w:sz w:val="32"/>
          <w:szCs w:val="32"/>
        </w:rPr>
        <w:t>预算</w:t>
      </w:r>
      <w:r>
        <w:rPr>
          <w:rFonts w:hint="eastAsia" w:ascii="仿宋_GB2312" w:hAnsi="Times New Roman" w:eastAsia="仿宋_GB2312" w:cs="DengXian-Regular"/>
          <w:sz w:val="32"/>
          <w:szCs w:val="32"/>
          <w:lang w:eastAsia="zh-CN"/>
        </w:rPr>
        <w:t>持平，与2022年度决算支出持平</w:t>
      </w:r>
      <w:r>
        <w:rPr>
          <w:rFonts w:hint="eastAsia" w:ascii="仿宋_GB2312" w:hAnsi="Times New Roman" w:eastAsia="仿宋_GB2312" w:cs="DengXian-Regular"/>
          <w:sz w:val="32"/>
          <w:szCs w:val="32"/>
        </w:rPr>
        <w:t>。其中因公出国（境）团组</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个、共</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人、参加其他单位组织的因公出国（境）团组</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个、共</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人</w:t>
      </w:r>
      <w:r>
        <w:rPr>
          <w:rFonts w:hint="eastAsia" w:ascii="仿宋_GB2312" w:hAnsi="Times New Roman" w:eastAsia="仿宋_GB2312" w:cs="DengXian-Regular"/>
          <w:b/>
          <w:bCs/>
          <w:sz w:val="32"/>
          <w:szCs w:val="32"/>
        </w:rPr>
        <w:t>/</w:t>
      </w:r>
      <w:r>
        <w:rPr>
          <w:rFonts w:hint="eastAsia" w:ascii="仿宋_GB2312" w:hAnsi="Times New Roman" w:eastAsia="仿宋_GB2312" w:cs="DengXian-Regular"/>
          <w:sz w:val="32"/>
          <w:szCs w:val="32"/>
        </w:rPr>
        <w:t>无本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组织的出国（境）团组。</w:t>
      </w:r>
    </w:p>
    <w:p>
      <w:pPr>
        <w:adjustRightInd w:val="0"/>
        <w:snapToGrid w:val="0"/>
        <w:spacing w:line="580" w:lineRule="exact"/>
        <w:ind w:firstLine="643" w:firstLineChars="200"/>
        <w:rPr>
          <w:rFonts w:ascii="仿宋_GB2312" w:hAnsi="Times New Roman" w:eastAsia="仿宋_GB2312" w:cs="DengXian-Bold"/>
          <w:b/>
          <w:bCs/>
          <w:sz w:val="32"/>
          <w:szCs w:val="32"/>
        </w:rPr>
      </w:pPr>
      <w:r>
        <w:rPr>
          <w:rFonts w:hint="eastAsia" w:ascii="楷体_GB2312" w:hAnsi="Times New Roman" w:eastAsia="楷体_GB2312" w:cs="DengXian-Bold"/>
          <w:b/>
          <w:bCs/>
          <w:sz w:val="32"/>
          <w:szCs w:val="32"/>
        </w:rPr>
        <w:t>2.公务用车购置及运行维护费支出情况。</w:t>
      </w: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2023年度公务用车购置及运行维护费预算为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万元，支出决算</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w:t>
      </w:r>
      <w:r>
        <w:rPr>
          <w:rFonts w:hint="eastAsia" w:ascii="仿宋_GB2312" w:hAnsi="Times New Roman" w:eastAsia="仿宋_GB2312" w:cs="DengXian-Regular"/>
          <w:sz w:val="32"/>
          <w:szCs w:val="32"/>
          <w:lang w:eastAsia="zh-CN"/>
        </w:rPr>
        <w:t>与预算持平，与</w:t>
      </w:r>
      <w:r>
        <w:rPr>
          <w:rFonts w:hint="eastAsia" w:ascii="仿宋_GB2312" w:hAnsi="Times New Roman" w:eastAsia="仿宋_GB2312" w:cs="DengXian-Regular"/>
          <w:sz w:val="32"/>
          <w:szCs w:val="32"/>
          <w:lang w:val="en-US" w:eastAsia="zh-CN"/>
        </w:rPr>
        <w:t>2022年度决算支出持平</w:t>
      </w:r>
      <w:r>
        <w:rPr>
          <w:rFonts w:hint="eastAsia" w:ascii="仿宋_GB2312" w:hAnsi="Times New Roman" w:eastAsia="仿宋_GB2312" w:cs="DengXian-Regular"/>
          <w:sz w:val="32"/>
          <w:szCs w:val="32"/>
        </w:rPr>
        <w:t>。</w:t>
      </w:r>
      <w:r>
        <w:rPr>
          <w:rFonts w:hint="eastAsia" w:ascii="仿宋_GB2312" w:hAnsi="Times New Roman" w:eastAsia="仿宋_GB2312" w:cs="DengXian-Bold"/>
          <w:sz w:val="32"/>
          <w:szCs w:val="32"/>
        </w:rPr>
        <w:t>其中：</w:t>
      </w:r>
    </w:p>
    <w:p>
      <w:pPr>
        <w:adjustRightInd w:val="0"/>
        <w:snapToGrid w:val="0"/>
        <w:spacing w:line="580" w:lineRule="exact"/>
        <w:ind w:firstLine="643" w:firstLineChars="200"/>
        <w:rPr>
          <w:rFonts w:ascii="仿宋_GB2312" w:hAnsi="Times New Roman" w:eastAsia="仿宋_GB2312" w:cs="DengXian-Regular"/>
          <w:sz w:val="32"/>
          <w:szCs w:val="32"/>
        </w:rPr>
      </w:pPr>
      <w:r>
        <w:rPr>
          <w:rFonts w:hint="eastAsia" w:ascii="仿宋_GB2312" w:hAnsi="Times New Roman" w:eastAsia="仿宋_GB2312" w:cs="DengXian-Regular"/>
          <w:b/>
          <w:sz w:val="32"/>
          <w:szCs w:val="32"/>
        </w:rPr>
        <w:t>公务用车购置费支出</w:t>
      </w:r>
      <w:r>
        <w:rPr>
          <w:rFonts w:hint="eastAsia" w:ascii="楷体_GB2312" w:hAnsi="Times New Roman" w:eastAsia="楷体_GB2312" w:cs="DengXian-Bold"/>
          <w:b/>
          <w:bCs/>
          <w:sz w:val="32"/>
          <w:szCs w:val="32"/>
          <w:lang w:val="en-US" w:eastAsia="zh-CN"/>
        </w:rPr>
        <w:t>0</w:t>
      </w:r>
      <w:r>
        <w:rPr>
          <w:rFonts w:hint="eastAsia" w:ascii="楷体_GB2312" w:hAnsi="Times New Roman" w:eastAsia="楷体_GB2312" w:cs="DengXian-Bold"/>
          <w:b/>
          <w:bCs/>
          <w:sz w:val="32"/>
          <w:szCs w:val="32"/>
        </w:rPr>
        <w:t>万元</w:t>
      </w:r>
      <w:r>
        <w:rPr>
          <w:rFonts w:hint="eastAsia" w:ascii="仿宋_GB2312" w:hAnsi="Times New Roman" w:eastAsia="仿宋_GB2312" w:cs="DengXian-Regular"/>
          <w:b/>
          <w:sz w:val="32"/>
          <w:szCs w:val="32"/>
        </w:rPr>
        <w:t>：</w:t>
      </w: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2023年度公务用车购置量</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辆，发生“公务用车购置”经费支出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万元。与预算持平，与2022年度决算支出持平。</w:t>
      </w:r>
    </w:p>
    <w:p>
      <w:pPr>
        <w:adjustRightInd w:val="0"/>
        <w:snapToGrid w:val="0"/>
        <w:spacing w:line="580" w:lineRule="exact"/>
        <w:ind w:firstLine="643" w:firstLineChars="200"/>
        <w:rPr>
          <w:rFonts w:ascii="仿宋_GB2312" w:hAnsi="Times New Roman" w:eastAsia="仿宋_GB2312" w:cs="DengXian-Regular"/>
          <w:sz w:val="32"/>
          <w:szCs w:val="32"/>
        </w:rPr>
      </w:pPr>
      <w:r>
        <w:rPr>
          <w:rFonts w:hint="eastAsia" w:ascii="仿宋_GB2312" w:hAnsi="Times New Roman" w:eastAsia="仿宋_GB2312" w:cs="DengXian-Regular"/>
          <w:b/>
          <w:sz w:val="32"/>
          <w:szCs w:val="32"/>
        </w:rPr>
        <w:t>公务用车运行维护费支出</w:t>
      </w:r>
      <w:r>
        <w:rPr>
          <w:rFonts w:hint="eastAsia" w:ascii="仿宋_GB2312" w:hAnsi="Times New Roman" w:eastAsia="仿宋_GB2312" w:cs="DengXian-Regular"/>
          <w:b/>
          <w:sz w:val="32"/>
          <w:szCs w:val="32"/>
          <w:lang w:val="en-US" w:eastAsia="zh-CN"/>
        </w:rPr>
        <w:t>0</w:t>
      </w:r>
      <w:r>
        <w:rPr>
          <w:rFonts w:hint="eastAsia" w:ascii="楷体_GB2312" w:hAnsi="Times New Roman" w:eastAsia="楷体_GB2312" w:cs="DengXian-Bold"/>
          <w:b/>
          <w:bCs/>
          <w:sz w:val="32"/>
          <w:szCs w:val="32"/>
        </w:rPr>
        <w:t>万元</w:t>
      </w:r>
      <w:r>
        <w:rPr>
          <w:rFonts w:hint="eastAsia" w:ascii="仿宋_GB2312" w:hAnsi="Times New Roman" w:eastAsia="仿宋_GB2312" w:cs="DengXian-Regular"/>
          <w:b/>
          <w:sz w:val="32"/>
          <w:szCs w:val="32"/>
        </w:rPr>
        <w:t>：</w:t>
      </w: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2023年度单位财政开支公务用车保有量</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辆。公车运行维护费支出与预算持平，与2022年度决算支出持平。。</w:t>
      </w:r>
    </w:p>
    <w:p>
      <w:pPr>
        <w:adjustRightInd w:val="0"/>
        <w:snapToGrid w:val="0"/>
        <w:spacing w:line="580" w:lineRule="exact"/>
        <w:ind w:firstLine="643" w:firstLineChars="200"/>
        <w:rPr>
          <w:rFonts w:ascii="仿宋_GB2312" w:hAnsi="Times New Roman" w:eastAsia="仿宋_GB2312" w:cs="DengXian-Regular"/>
          <w:sz w:val="32"/>
          <w:szCs w:val="32"/>
          <w:highlight w:val="yellow"/>
        </w:rPr>
      </w:pPr>
      <w:r>
        <w:rPr>
          <w:rFonts w:hint="eastAsia" w:ascii="楷体_GB2312" w:hAnsi="Times New Roman" w:eastAsia="楷体_GB2312" w:cs="DengXian-Bold"/>
          <w:b/>
          <w:bCs/>
          <w:sz w:val="32"/>
          <w:szCs w:val="32"/>
        </w:rPr>
        <w:t>3.公务接待费支出情况。</w:t>
      </w: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2023年度公务接待费支出预算为</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万元，支出决算</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万元。公务接待费支出与预算持平，与2022年度决算支出持平。本年度共发生公务接待</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批次、</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人次。</w:t>
      </w:r>
    </w:p>
    <w:p>
      <w:pPr>
        <w:adjustRightInd w:val="0"/>
        <w:snapToGrid w:val="0"/>
        <w:spacing w:line="580" w:lineRule="exact"/>
        <w:ind w:left="420" w:leftChars="200" w:firstLine="320" w:firstLineChars="100"/>
        <w:rPr>
          <w:rFonts w:ascii="仿宋_GB2312" w:hAnsi="仿宋_GB2312" w:eastAsia="仿宋_GB2312" w:cs="仿宋_GB2312"/>
          <w:sz w:val="32"/>
          <w:szCs w:val="32"/>
        </w:rPr>
      </w:pPr>
      <w:r>
        <w:rPr>
          <w:rFonts w:hint="eastAsia" w:ascii="黑体" w:hAnsi="Calibri" w:eastAsia="黑体" w:cs="Times New Roman"/>
          <w:sz w:val="32"/>
          <w:szCs w:val="32"/>
        </w:rPr>
        <w:t>六、机关运行经费支出说明</w:t>
      </w:r>
    </w:p>
    <w:p>
      <w:pPr>
        <w:adjustRightInd w:val="0"/>
        <w:snapToGrid w:val="0"/>
        <w:spacing w:line="580" w:lineRule="exact"/>
        <w:ind w:firstLine="640" w:firstLineChars="200"/>
        <w:rPr>
          <w:rFonts w:ascii="仿宋_GB2312" w:hAnsi="Times New Roman" w:eastAsia="仿宋_GB2312" w:cs="DengXian-Regular"/>
          <w:sz w:val="32"/>
          <w:szCs w:val="32"/>
          <w:highlight w:val="none"/>
        </w:rPr>
      </w:pPr>
      <w:r>
        <w:rPr>
          <w:rFonts w:hint="eastAsia" w:ascii="仿宋_GB2312" w:hAnsi="Times New Roman" w:eastAsia="仿宋_GB2312" w:cs="DengXian-Regular"/>
          <w:sz w:val="32"/>
          <w:szCs w:val="32"/>
          <w:highlight w:val="none"/>
        </w:rPr>
        <w:t>本单位为差额拨款事业单位，无一般公共预算安排的机关运行经费支出。</w:t>
      </w:r>
    </w:p>
    <w:p>
      <w:pPr>
        <w:adjustRightInd w:val="0"/>
        <w:snapToGrid w:val="0"/>
        <w:spacing w:line="580" w:lineRule="exact"/>
        <w:ind w:firstLine="640" w:firstLineChars="200"/>
        <w:rPr>
          <w:rFonts w:ascii="仿宋_GB2312" w:hAnsi="Times New Roman" w:eastAsia="仿宋_GB2312" w:cs="DengXian-Regular"/>
          <w:sz w:val="32"/>
          <w:szCs w:val="32"/>
          <w:highlight w:val="yellow"/>
        </w:rPr>
      </w:pPr>
      <w:r>
        <w:rPr>
          <w:rFonts w:hint="eastAsia" w:ascii="黑体" w:hAnsi="Calibri" w:eastAsia="黑体" w:cs="Times New Roman"/>
          <w:sz w:val="32"/>
          <w:szCs w:val="32"/>
        </w:rPr>
        <w:t>七、政府采购支出说明</w:t>
      </w:r>
    </w:p>
    <w:p>
      <w:pPr>
        <w:snapToGrid w:val="0"/>
        <w:spacing w:line="580" w:lineRule="exact"/>
        <w:ind w:firstLine="640" w:firstLineChars="200"/>
        <w:jc w:val="left"/>
        <w:rPr>
          <w:rFonts w:ascii="仿宋_GB2312" w:hAnsi="Times New Roman" w:eastAsia="仿宋_GB2312" w:cs="DengXian-Regular"/>
          <w:sz w:val="32"/>
          <w:szCs w:val="32"/>
        </w:rPr>
      </w:pPr>
      <w:r>
        <w:rPr>
          <w:rFonts w:hint="eastAsia" w:ascii="仿宋_GB2312" w:hAnsi="Times New Roman" w:eastAsia="仿宋_GB2312" w:cs="DengXian-Regular"/>
          <w:sz w:val="32"/>
          <w:szCs w:val="32"/>
        </w:rPr>
        <w:t>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2023年度政府采购支出总额</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万元，从采购类型来看，</w:t>
      </w:r>
      <w:r>
        <w:rPr>
          <w:rFonts w:ascii="仿宋_GB2312" w:hAnsi="仿宋_GB2312" w:eastAsia="仿宋_GB2312" w:cs="仿宋_GB2312"/>
          <w:color w:val="000000"/>
          <w:kern w:val="0"/>
          <w:sz w:val="32"/>
          <w:szCs w:val="32"/>
          <w:lang w:bidi="ar"/>
        </w:rPr>
        <w:t>政府采购货物支出</w:t>
      </w:r>
      <w:r>
        <w:rPr>
          <w:rFonts w:hint="eastAsia" w:ascii="仿宋_GB2312" w:hAnsi="仿宋_GB2312" w:eastAsia="仿宋_GB2312" w:cs="仿宋_GB2312"/>
          <w:color w:val="000000"/>
          <w:kern w:val="0"/>
          <w:sz w:val="32"/>
          <w:szCs w:val="32"/>
          <w:lang w:val="en-US" w:eastAsia="zh-CN" w:bidi="ar"/>
        </w:rPr>
        <w:t>0</w:t>
      </w:r>
      <w:r>
        <w:rPr>
          <w:rFonts w:ascii="仿宋_GB2312" w:hAnsi="仿宋_GB2312" w:eastAsia="仿宋_GB2312" w:cs="仿宋_GB2312"/>
          <w:color w:val="000000"/>
          <w:kern w:val="0"/>
          <w:sz w:val="32"/>
          <w:szCs w:val="32"/>
          <w:lang w:bidi="ar"/>
        </w:rPr>
        <w:t>万元、政府采购工程支出</w:t>
      </w:r>
      <w:r>
        <w:rPr>
          <w:rFonts w:hint="eastAsia" w:ascii="仿宋_GB2312" w:hAnsi="仿宋_GB2312" w:eastAsia="仿宋_GB2312" w:cs="仿宋_GB2312"/>
          <w:color w:val="000000"/>
          <w:kern w:val="0"/>
          <w:sz w:val="32"/>
          <w:szCs w:val="32"/>
          <w:lang w:val="en-US" w:eastAsia="zh-CN" w:bidi="ar"/>
        </w:rPr>
        <w:t>0</w:t>
      </w:r>
      <w:r>
        <w:rPr>
          <w:rFonts w:ascii="仿宋_GB2312" w:hAnsi="仿宋_GB2312" w:eastAsia="仿宋_GB2312" w:cs="仿宋_GB2312"/>
          <w:color w:val="000000"/>
          <w:kern w:val="0"/>
          <w:sz w:val="32"/>
          <w:szCs w:val="32"/>
          <w:lang w:bidi="ar"/>
        </w:rPr>
        <w:t>万元、政府采购服务支出</w:t>
      </w:r>
      <w:r>
        <w:rPr>
          <w:rFonts w:hint="eastAsia" w:ascii="仿宋_GB2312" w:hAnsi="仿宋_GB2312" w:eastAsia="仿宋_GB2312" w:cs="仿宋_GB2312"/>
          <w:color w:val="000000"/>
          <w:kern w:val="0"/>
          <w:sz w:val="32"/>
          <w:szCs w:val="32"/>
          <w:lang w:val="en-US" w:eastAsia="zh-CN" w:bidi="ar"/>
        </w:rPr>
        <w:t>0</w:t>
      </w:r>
      <w:r>
        <w:rPr>
          <w:rFonts w:ascii="仿宋_GB2312" w:hAnsi="仿宋_GB2312" w:eastAsia="仿宋_GB2312" w:cs="仿宋_GB2312"/>
          <w:color w:val="000000"/>
          <w:kern w:val="0"/>
          <w:sz w:val="32"/>
          <w:szCs w:val="32"/>
          <w:lang w:bidi="ar"/>
        </w:rPr>
        <w:t>万元。授予中小企业合同金</w:t>
      </w:r>
      <w:r>
        <w:rPr>
          <w:rFonts w:hint="eastAsia" w:ascii="仿宋_GB2312" w:hAnsi="仿宋_GB2312" w:eastAsia="仿宋_GB2312" w:cs="仿宋_GB2312"/>
          <w:color w:val="000000"/>
          <w:kern w:val="0"/>
          <w:sz w:val="32"/>
          <w:szCs w:val="32"/>
          <w:lang w:val="en-US" w:eastAsia="zh-CN" w:bidi="ar"/>
        </w:rPr>
        <w:t>0</w:t>
      </w:r>
      <w:r>
        <w:rPr>
          <w:rFonts w:ascii="仿宋_GB2312" w:hAnsi="仿宋_GB2312" w:eastAsia="仿宋_GB2312" w:cs="仿宋_GB2312"/>
          <w:color w:val="000000"/>
          <w:kern w:val="0"/>
          <w:sz w:val="32"/>
          <w:szCs w:val="32"/>
          <w:lang w:bidi="ar"/>
        </w:rPr>
        <w:t>万元，占政府采购支出总额的</w:t>
      </w:r>
      <w:r>
        <w:rPr>
          <w:rFonts w:hint="eastAsia" w:ascii="仿宋_GB2312" w:hAnsi="仿宋_GB2312" w:eastAsia="仿宋_GB2312" w:cs="仿宋_GB2312"/>
          <w:color w:val="000000"/>
          <w:kern w:val="0"/>
          <w:sz w:val="32"/>
          <w:szCs w:val="32"/>
          <w:lang w:val="en-US" w:eastAsia="zh-CN" w:bidi="ar"/>
        </w:rPr>
        <w:t>0</w:t>
      </w:r>
      <w:r>
        <w:rPr>
          <w:rFonts w:hint="eastAsia" w:ascii="仿宋_GB2312" w:hAnsi="仿宋_GB2312" w:eastAsia="仿宋_GB2312" w:cs="仿宋_GB2312"/>
          <w:color w:val="000000"/>
          <w:kern w:val="0"/>
          <w:sz w:val="32"/>
          <w:szCs w:val="32"/>
          <w:lang w:bidi="ar"/>
        </w:rPr>
        <w:t>%，</w:t>
      </w:r>
      <w:r>
        <w:rPr>
          <w:rFonts w:ascii="仿宋_GB2312" w:hAnsi="仿宋_GB2312" w:eastAsia="仿宋_GB2312" w:cs="仿宋_GB2312"/>
          <w:color w:val="000000"/>
          <w:kern w:val="0"/>
          <w:sz w:val="32"/>
          <w:szCs w:val="32"/>
          <w:lang w:bidi="ar"/>
        </w:rPr>
        <w:t>其中授予小微企业合同金额</w:t>
      </w:r>
      <w:r>
        <w:rPr>
          <w:rFonts w:hint="eastAsia" w:ascii="仿宋_GB2312" w:hAnsi="仿宋_GB2312" w:eastAsia="仿宋_GB2312" w:cs="仿宋_GB2312"/>
          <w:color w:val="000000"/>
          <w:kern w:val="0"/>
          <w:sz w:val="32"/>
          <w:szCs w:val="32"/>
          <w:lang w:val="en-US" w:eastAsia="zh-CN" w:bidi="ar"/>
        </w:rPr>
        <w:t>0</w:t>
      </w:r>
      <w:r>
        <w:rPr>
          <w:rFonts w:ascii="仿宋_GB2312" w:hAnsi="仿宋_GB2312" w:eastAsia="仿宋_GB2312" w:cs="仿宋_GB2312"/>
          <w:color w:val="000000"/>
          <w:kern w:val="0"/>
          <w:sz w:val="32"/>
          <w:szCs w:val="32"/>
          <w:lang w:bidi="ar"/>
        </w:rPr>
        <w:t>万元，占政府采购支出总额的</w:t>
      </w:r>
      <w:r>
        <w:rPr>
          <w:rFonts w:hint="eastAsia" w:ascii="仿宋_GB2312" w:hAnsi="仿宋_GB2312" w:eastAsia="仿宋_GB2312" w:cs="仿宋_GB2312"/>
          <w:color w:val="000000"/>
          <w:kern w:val="0"/>
          <w:sz w:val="32"/>
          <w:szCs w:val="32"/>
          <w:lang w:val="en-US" w:eastAsia="zh-CN" w:bidi="ar"/>
        </w:rPr>
        <w:t>0</w:t>
      </w:r>
      <w:r>
        <w:rPr>
          <w:rFonts w:ascii="仿宋_GB2312" w:hAnsi="仿宋_GB2312" w:eastAsia="仿宋_GB2312" w:cs="仿宋_GB2312"/>
          <w:color w:val="000000"/>
          <w:kern w:val="0"/>
          <w:sz w:val="32"/>
          <w:szCs w:val="32"/>
          <w:lang w:bidi="ar"/>
        </w:rPr>
        <w:t>%。</w:t>
      </w:r>
    </w:p>
    <w:p>
      <w:pPr>
        <w:snapToGrid w:val="0"/>
        <w:spacing w:line="580" w:lineRule="exact"/>
        <w:ind w:firstLine="640" w:firstLineChars="200"/>
        <w:jc w:val="left"/>
        <w:rPr>
          <w:rFonts w:ascii="仿宋_GB2312" w:hAnsi="Times New Roman" w:eastAsia="仿宋_GB2312" w:cs="DengXian-Regular"/>
          <w:sz w:val="32"/>
          <w:szCs w:val="32"/>
          <w:highlight w:val="yellow"/>
        </w:rPr>
      </w:pPr>
      <w:r>
        <w:rPr>
          <w:rFonts w:hint="eastAsia" w:ascii="黑体" w:hAnsi="Calibri" w:eastAsia="黑体" w:cs="Times New Roman"/>
          <w:sz w:val="32"/>
          <w:szCs w:val="32"/>
        </w:rPr>
        <w:t>八、国有资产占用情况说明</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截至2023年12月31日，本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共有车辆</w:t>
      </w:r>
      <w:r>
        <w:rPr>
          <w:rFonts w:hint="eastAsia" w:ascii="仿宋_GB2312" w:hAnsi="Times New Roman" w:eastAsia="仿宋_GB2312" w:cs="DengXian-Regular"/>
          <w:sz w:val="32"/>
          <w:szCs w:val="32"/>
          <w:lang w:val="en-US" w:eastAsia="zh-CN"/>
        </w:rPr>
        <w:t>9</w:t>
      </w:r>
      <w:r>
        <w:rPr>
          <w:rFonts w:hint="eastAsia" w:ascii="仿宋_GB2312" w:hAnsi="Times New Roman" w:eastAsia="仿宋_GB2312" w:cs="DengXian-Regular"/>
          <w:sz w:val="32"/>
          <w:szCs w:val="32"/>
        </w:rPr>
        <w:t>辆，</w:t>
      </w:r>
      <w:r>
        <w:rPr>
          <w:rFonts w:hint="eastAsia" w:ascii="仿宋_GB2312" w:hAnsi="Times New Roman" w:eastAsia="仿宋_GB2312" w:cs="DengXian-Regular"/>
          <w:sz w:val="32"/>
          <w:szCs w:val="32"/>
          <w:lang w:eastAsia="zh-CN"/>
        </w:rPr>
        <w:t>与</w:t>
      </w:r>
      <w:r>
        <w:rPr>
          <w:rFonts w:hint="eastAsia" w:ascii="仿宋_GB2312" w:hAnsi="Times New Roman" w:eastAsia="仿宋_GB2312" w:cs="DengXian-Regular"/>
          <w:sz w:val="32"/>
          <w:szCs w:val="32"/>
        </w:rPr>
        <w:t>上年</w:t>
      </w:r>
      <w:r>
        <w:rPr>
          <w:rFonts w:hint="eastAsia" w:ascii="仿宋_GB2312" w:hAnsi="Times New Roman" w:eastAsia="仿宋_GB2312" w:cs="DengXian-Regular"/>
          <w:sz w:val="32"/>
          <w:szCs w:val="32"/>
          <w:lang w:eastAsia="zh-CN"/>
        </w:rPr>
        <w:t>持平</w:t>
      </w:r>
      <w:r>
        <w:rPr>
          <w:rFonts w:hint="eastAsia" w:ascii="仿宋_GB2312" w:hAnsi="Times New Roman" w:eastAsia="仿宋_GB2312" w:cs="DengXian-Regular"/>
          <w:sz w:val="32"/>
          <w:szCs w:val="32"/>
        </w:rPr>
        <w:t>。其中，副部（省）级及以上领导用车</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辆，主要领导干部用车</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辆，机要通信用车</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辆，应急保障用车</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辆，执法执勤用车</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辆，特种专业技术用车</w:t>
      </w:r>
      <w:r>
        <w:rPr>
          <w:rFonts w:hint="eastAsia" w:ascii="仿宋_GB2312" w:hAnsi="Times New Roman" w:eastAsia="仿宋_GB2312" w:cs="DengXian-Regular"/>
          <w:sz w:val="32"/>
          <w:szCs w:val="32"/>
          <w:lang w:val="en-US" w:eastAsia="zh-CN"/>
        </w:rPr>
        <w:t>7</w:t>
      </w:r>
      <w:r>
        <w:rPr>
          <w:rFonts w:hint="eastAsia" w:ascii="仿宋_GB2312" w:hAnsi="Times New Roman" w:eastAsia="仿宋_GB2312" w:cs="DengXian-Regular"/>
          <w:sz w:val="32"/>
          <w:szCs w:val="32"/>
        </w:rPr>
        <w:t>辆，离退休干部用车</w:t>
      </w:r>
      <w:r>
        <w:rPr>
          <w:rFonts w:hint="eastAsia" w:ascii="仿宋_GB2312" w:hAnsi="Times New Roman" w:eastAsia="仿宋_GB2312" w:cs="DengXian-Regular"/>
          <w:sz w:val="32"/>
          <w:szCs w:val="32"/>
          <w:lang w:val="en-US" w:eastAsia="zh-CN"/>
        </w:rPr>
        <w:t>0</w:t>
      </w:r>
      <w:r>
        <w:rPr>
          <w:rFonts w:hint="eastAsia" w:ascii="仿宋_GB2312" w:hAnsi="Times New Roman" w:eastAsia="仿宋_GB2312" w:cs="DengXian-Regular"/>
          <w:sz w:val="32"/>
          <w:szCs w:val="32"/>
        </w:rPr>
        <w:t>辆，其他用车</w:t>
      </w:r>
      <w:r>
        <w:rPr>
          <w:rFonts w:hint="eastAsia" w:ascii="仿宋_GB2312" w:hAnsi="Times New Roman" w:eastAsia="仿宋_GB2312" w:cs="DengXian-Regular"/>
          <w:sz w:val="32"/>
          <w:szCs w:val="32"/>
          <w:lang w:val="en-US" w:eastAsia="zh-CN"/>
        </w:rPr>
        <w:t>2</w:t>
      </w:r>
      <w:r>
        <w:rPr>
          <w:rFonts w:hint="eastAsia" w:ascii="仿宋_GB2312" w:hAnsi="Times New Roman" w:eastAsia="仿宋_GB2312" w:cs="DengXian-Regular"/>
          <w:sz w:val="32"/>
          <w:szCs w:val="32"/>
        </w:rPr>
        <w:t>辆，其他用车主要是</w:t>
      </w:r>
      <w:r>
        <w:rPr>
          <w:rFonts w:hint="eastAsia" w:ascii="仿宋_GB2312" w:hAnsi="Times New Roman" w:eastAsia="仿宋_GB2312" w:cs="DengXian-Regular"/>
          <w:sz w:val="32"/>
          <w:szCs w:val="32"/>
          <w:lang w:eastAsia="zh-CN"/>
        </w:rPr>
        <w:t>办公用车</w:t>
      </w:r>
      <w:r>
        <w:rPr>
          <w:rFonts w:hint="eastAsia" w:ascii="仿宋_GB2312" w:hAnsi="Times New Roman" w:eastAsia="仿宋_GB2312" w:cs="DengXian-Regular"/>
          <w:sz w:val="32"/>
          <w:szCs w:val="32"/>
        </w:rPr>
        <w:t>；单位价值100万元以上设备（不含车辆）</w:t>
      </w:r>
      <w:r>
        <w:rPr>
          <w:rFonts w:hint="eastAsia" w:ascii="仿宋_GB2312" w:hAnsi="Times New Roman" w:eastAsia="仿宋_GB2312" w:cs="DengXian-Regular"/>
          <w:sz w:val="32"/>
          <w:szCs w:val="32"/>
          <w:lang w:val="en-US" w:eastAsia="zh-CN"/>
        </w:rPr>
        <w:t>20</w:t>
      </w:r>
      <w:r>
        <w:rPr>
          <w:rFonts w:hint="eastAsia" w:ascii="仿宋_GB2312" w:hAnsi="Times New Roman" w:eastAsia="仿宋_GB2312" w:cs="DengXian-Regular"/>
          <w:sz w:val="32"/>
          <w:szCs w:val="32"/>
        </w:rPr>
        <w:t>台（套）。</w:t>
      </w:r>
    </w:p>
    <w:p>
      <w:pPr>
        <w:adjustRightInd w:val="0"/>
        <w:snapToGrid w:val="0"/>
        <w:spacing w:line="580" w:lineRule="exact"/>
        <w:ind w:firstLine="640" w:firstLineChars="200"/>
        <w:rPr>
          <w:rFonts w:ascii="黑体" w:hAnsi="Times New Roman" w:eastAsia="黑体" w:cs="Times New Roman"/>
          <w:sz w:val="32"/>
          <w:szCs w:val="40"/>
        </w:rPr>
      </w:pPr>
      <w:r>
        <w:rPr>
          <w:rFonts w:hint="eastAsia" w:ascii="黑体" w:hAnsi="Times New Roman" w:eastAsia="黑体" w:cs="Times New Roman"/>
          <w:sz w:val="32"/>
          <w:szCs w:val="40"/>
        </w:rPr>
        <w:t>九、预算绩效情况说明</w:t>
      </w:r>
    </w:p>
    <w:p>
      <w:pPr>
        <w:adjustRightInd w:val="0"/>
        <w:snapToGrid w:val="0"/>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（一）预算绩效管理工作开展情况</w:t>
      </w:r>
    </w:p>
    <w:p>
      <w:pPr>
        <w:adjustRightInd w:val="0"/>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组织对2023年度一般公共预算项目支出全面开展绩效自评，其中，项目</w:t>
      </w:r>
      <w:r>
        <w:rPr>
          <w:rFonts w:hint="eastAsia" w:ascii="仿宋_GB2312" w:hAnsi="仿宋_GB2312" w:eastAsia="仿宋_GB2312" w:cs="仿宋_GB2312"/>
          <w:sz w:val="32"/>
          <w:szCs w:val="32"/>
          <w:lang w:eastAsia="zh-CN"/>
        </w:rPr>
        <w:t>共计</w:t>
      </w:r>
      <w:r>
        <w:rPr>
          <w:rFonts w:hint="eastAsia" w:ascii="仿宋_GB2312" w:hAnsi="仿宋_GB2312" w:eastAsia="仿宋_GB2312" w:cs="仿宋_GB2312"/>
          <w:sz w:val="32"/>
          <w:szCs w:val="32"/>
          <w:lang w:val="en-US" w:eastAsia="zh-CN"/>
        </w:rPr>
        <w:t>9个</w:t>
      </w:r>
      <w:r>
        <w:rPr>
          <w:rFonts w:hint="eastAsia" w:ascii="仿宋_GB2312" w:hAnsi="仿宋_GB2312" w:eastAsia="仿宋_GB2312" w:cs="仿宋_GB2312"/>
          <w:sz w:val="32"/>
          <w:szCs w:val="32"/>
        </w:rPr>
        <w:t>，共涉及资金</w:t>
      </w:r>
      <w:r>
        <w:rPr>
          <w:rFonts w:hint="eastAsia" w:ascii="仿宋_GB2312" w:hAnsi="仿宋_GB2312" w:eastAsia="仿宋_GB2312" w:cs="仿宋_GB2312"/>
          <w:sz w:val="32"/>
          <w:szCs w:val="32"/>
          <w:lang w:val="en-US" w:eastAsia="zh-CN"/>
        </w:rPr>
        <w:t>325.59</w:t>
      </w:r>
      <w:r>
        <w:rPr>
          <w:rFonts w:hint="eastAsia" w:ascii="仿宋_GB2312" w:hAnsi="仿宋_GB2312" w:eastAsia="仿宋_GB2312" w:cs="仿宋_GB2312"/>
          <w:sz w:val="32"/>
          <w:szCs w:val="32"/>
        </w:rPr>
        <w:t>万元，占一般公共预算项目支出总额的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%。不涉及政府性基金预算项目及国有资本经营预算项目。</w:t>
      </w:r>
    </w:p>
    <w:p>
      <w:pPr>
        <w:adjustRightInd w:val="0"/>
        <w:snapToGrid w:val="0"/>
        <w:spacing w:line="580" w:lineRule="exact"/>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组织对“药品零差价补助资金”“退休人员补贴”等</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个项目开展了</w:t>
      </w:r>
      <w:r>
        <w:rPr>
          <w:rFonts w:hint="eastAsia" w:ascii="仿宋_GB2312" w:hAnsi="仿宋_GB2312" w:eastAsia="仿宋_GB2312" w:cs="仿宋_GB2312"/>
          <w:sz w:val="32"/>
          <w:szCs w:val="32"/>
          <w:lang w:eastAsia="zh-CN"/>
        </w:rPr>
        <w:t>绩效</w:t>
      </w:r>
      <w:r>
        <w:rPr>
          <w:rFonts w:hint="eastAsia" w:ascii="仿宋_GB2312" w:hAnsi="仿宋_GB2312" w:eastAsia="仿宋_GB2312" w:cs="仿宋_GB2312"/>
          <w:sz w:val="32"/>
          <w:szCs w:val="32"/>
        </w:rPr>
        <w:t>评价，涉及一般公共预算支出</w:t>
      </w:r>
      <w:r>
        <w:rPr>
          <w:rFonts w:hint="eastAsia" w:ascii="仿宋_GB2312" w:hAnsi="仿宋_GB2312" w:eastAsia="仿宋_GB2312" w:cs="仿宋_GB2312"/>
          <w:sz w:val="32"/>
          <w:szCs w:val="32"/>
          <w:lang w:val="en-US" w:eastAsia="zh-CN"/>
        </w:rPr>
        <w:t>325.59</w:t>
      </w:r>
      <w:r>
        <w:rPr>
          <w:rFonts w:hint="eastAsia" w:ascii="仿宋_GB2312" w:hAnsi="仿宋_GB2312" w:eastAsia="仿宋_GB2312" w:cs="仿宋_GB2312"/>
          <w:sz w:val="32"/>
          <w:szCs w:val="32"/>
        </w:rPr>
        <w:t>万元。从评价情况来看，</w:t>
      </w:r>
      <w:r>
        <w:rPr>
          <w:rFonts w:hint="eastAsia" w:ascii="仿宋_GB2312" w:hAnsi="仿宋_GB2312" w:eastAsia="仿宋_GB2312" w:cs="仿宋_GB2312"/>
          <w:sz w:val="32"/>
          <w:szCs w:val="32"/>
          <w:lang w:eastAsia="zh-CN"/>
        </w:rPr>
        <w:t>除个别项目受客观因素无法全部支出，其余所有项目预算执行率达</w:t>
      </w:r>
      <w:r>
        <w:rPr>
          <w:rFonts w:hint="eastAsia" w:ascii="仿宋_GB2312" w:hAnsi="仿宋_GB2312" w:eastAsia="仿宋_GB2312" w:cs="仿宋_GB2312"/>
          <w:sz w:val="32"/>
          <w:szCs w:val="32"/>
          <w:lang w:val="en-US" w:eastAsia="zh-CN"/>
        </w:rPr>
        <w:t>100%，绩效目标全部实现</w:t>
      </w:r>
      <w:r>
        <w:rPr>
          <w:rFonts w:hint="eastAsia" w:ascii="仿宋_GB2312" w:hAnsi="仿宋_GB2312" w:eastAsia="仿宋_GB2312" w:cs="仿宋_GB2312"/>
          <w:sz w:val="32"/>
          <w:szCs w:val="32"/>
          <w:highlight w:val="none"/>
        </w:rPr>
        <w:t>。</w:t>
      </w:r>
    </w:p>
    <w:p>
      <w:pPr>
        <w:adjustRightInd w:val="0"/>
        <w:snapToGrid w:val="0"/>
        <w:spacing w:line="580" w:lineRule="exact"/>
        <w:ind w:left="420" w:leftChars="200" w:firstLine="321" w:firstLineChars="1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b/>
          <w:bCs/>
          <w:sz w:val="32"/>
          <w:szCs w:val="32"/>
          <w:lang w:eastAsia="zh-CN"/>
        </w:rPr>
        <w:t>单位</w:t>
      </w:r>
      <w:r>
        <w:rPr>
          <w:rFonts w:hint="eastAsia" w:ascii="仿宋_GB2312" w:hAnsi="仿宋_GB2312" w:eastAsia="仿宋_GB2312" w:cs="仿宋_GB2312"/>
          <w:b/>
          <w:bCs/>
          <w:sz w:val="32"/>
          <w:szCs w:val="32"/>
        </w:rPr>
        <w:t>决算中项目绩效自评结果</w:t>
      </w:r>
    </w:p>
    <w:p>
      <w:pPr>
        <w:adjustRightInd w:val="0"/>
        <w:snapToGrid w:val="0"/>
        <w:spacing w:line="580" w:lineRule="exact"/>
        <w:ind w:firstLine="640" w:firstLineChars="200"/>
        <w:rPr>
          <w:rFonts w:ascii="仿宋_GB2312" w:hAnsi="仿宋_GB2312" w:eastAsia="仿宋_GB2312" w:cs="仿宋_GB2312"/>
          <w:b/>
          <w:color w:val="FF0000"/>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在今年决算公开中反映药品零差价补助资金项目等</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个项目绩效自评结果。</w:t>
      </w:r>
    </w:p>
    <w:p>
      <w:p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药品零差价补助资金</w:t>
      </w:r>
      <w:r>
        <w:rPr>
          <w:rFonts w:hint="eastAsia" w:ascii="仿宋_GB2312" w:hAnsi="仿宋_GB2312" w:eastAsia="仿宋_GB2312" w:cs="仿宋_GB2312"/>
          <w:sz w:val="32"/>
          <w:szCs w:val="32"/>
        </w:rPr>
        <w:t>项目绩效自评情况：根据年初设定的绩效目标，</w:t>
      </w:r>
      <w:r>
        <w:rPr>
          <w:rFonts w:hint="eastAsia" w:ascii="仿宋_GB2312" w:hAnsi="仿宋_GB2312" w:eastAsia="仿宋_GB2312" w:cs="仿宋_GB2312"/>
          <w:sz w:val="32"/>
          <w:szCs w:val="32"/>
          <w:lang w:eastAsia="zh-CN"/>
        </w:rPr>
        <w:t>该</w:t>
      </w:r>
      <w:r>
        <w:rPr>
          <w:rFonts w:hint="eastAsia" w:ascii="仿宋_GB2312" w:hAnsi="仿宋_GB2312" w:eastAsia="仿宋_GB2312" w:cs="仿宋_GB2312"/>
          <w:sz w:val="32"/>
          <w:szCs w:val="32"/>
        </w:rPr>
        <w:t>项目绩效自评得分为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分（绩效自评表附后）。全年预算数为247.6</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万元，执行数为247.6</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通过项目实施，完成了年初设定的各项绩效目标，按政策要求严格落实药品零差价，财政</w:t>
      </w:r>
      <w:r>
        <w:rPr>
          <w:rFonts w:hint="eastAsia" w:ascii="仿宋_GB2312" w:hAnsi="仿宋_GB2312" w:eastAsia="仿宋_GB2312" w:cs="仿宋_GB2312"/>
          <w:sz w:val="32"/>
          <w:szCs w:val="32"/>
          <w:highlight w:val="none"/>
          <w:lang w:eastAsia="zh-CN"/>
        </w:rPr>
        <w:t>弥补</w:t>
      </w:r>
      <w:r>
        <w:rPr>
          <w:rFonts w:hint="eastAsia" w:ascii="仿宋_GB2312" w:hAnsi="仿宋_GB2312" w:eastAsia="仿宋_GB2312" w:cs="仿宋_GB2312"/>
          <w:sz w:val="32"/>
          <w:szCs w:val="32"/>
          <w:highlight w:val="none"/>
        </w:rPr>
        <w:t>一部分政策性亏损，一定程度上降低人均药费。未发现问题。</w:t>
      </w:r>
    </w:p>
    <w:tbl>
      <w:tblPr>
        <w:tblStyle w:val="6"/>
        <w:tblW w:w="944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37"/>
        <w:gridCol w:w="1215"/>
        <w:gridCol w:w="1110"/>
        <w:gridCol w:w="975"/>
        <w:gridCol w:w="1095"/>
        <w:gridCol w:w="1140"/>
        <w:gridCol w:w="1155"/>
        <w:gridCol w:w="16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jc w:val="center"/>
        </w:trPr>
        <w:tc>
          <w:tcPr>
            <w:tcW w:w="9443"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44"/>
                <w:szCs w:val="44"/>
                <w:u w:val="none"/>
              </w:rPr>
            </w:pPr>
            <w:r>
              <w:rPr>
                <w:rFonts w:hint="default" w:ascii="方正小标宋_GBK" w:hAnsi="方正小标宋_GBK" w:eastAsia="方正小标宋_GBK" w:cs="方正小标宋_GBK"/>
                <w:i w:val="0"/>
                <w:iCs w:val="0"/>
                <w:color w:val="000000"/>
                <w:kern w:val="0"/>
                <w:sz w:val="44"/>
                <w:szCs w:val="44"/>
                <w:u w:val="none"/>
                <w:lang w:val="en-US" w:eastAsia="zh-CN" w:bidi="ar"/>
              </w:rPr>
              <w:t>预算项目绩效自评表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9443" w:type="dxa"/>
            <w:gridSpan w:val="8"/>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2" w:type="dxa"/>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填报单位：石家庄循环化工园区医院</w:t>
            </w:r>
          </w:p>
        </w:tc>
        <w:tc>
          <w:tcPr>
            <w:tcW w:w="97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109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4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5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61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113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w:t>
            </w:r>
            <w:r>
              <w:rPr>
                <w:rFonts w:ascii="Calibri" w:hAnsi="Calibri" w:eastAsia="宋体" w:cs="Calibri"/>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基本情况</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药品零差价补助资金</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实施(主管）单位</w:t>
            </w:r>
          </w:p>
        </w:tc>
        <w:tc>
          <w:tcPr>
            <w:tcW w:w="39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高新区社会发展局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二、预算执行情况</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预算安排情况（调整后）</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资金到位情况</w:t>
            </w:r>
          </w:p>
        </w:tc>
        <w:tc>
          <w:tcPr>
            <w:tcW w:w="22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资金执行情况</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247.6858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到位数：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247.6858</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执行数：</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247.6858</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jc w:val="center"/>
        </w:trPr>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                 财政资金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247.6858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                      财政资金</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247.6858</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                     财政资金</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247.6858</w:t>
            </w: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jc w:val="center"/>
        </w:trPr>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Calibri" w:hAnsi="Calibri" w:eastAsia="宋体" w:cs="Calibri"/>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三、目标完成情况</w:t>
            </w:r>
          </w:p>
        </w:tc>
        <w:tc>
          <w:tcPr>
            <w:tcW w:w="33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年度预期目标</w:t>
            </w:r>
          </w:p>
        </w:tc>
        <w:tc>
          <w:tcPr>
            <w:tcW w:w="33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具体完成情况</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30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实施药品零差价政策，财政补贴一部分政策性亏损，进一步降低药占比、降低人均药费。</w:t>
            </w:r>
          </w:p>
        </w:tc>
        <w:tc>
          <w:tcPr>
            <w:tcW w:w="33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按政策要求严格落实药品零差价，财政补贴一部分政策性亏损，一定程度上降低人均药费。</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3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3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3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3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3" w:hRule="atLeast"/>
          <w:jc w:val="center"/>
        </w:trPr>
        <w:tc>
          <w:tcPr>
            <w:tcW w:w="1137"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w:t>
            </w:r>
            <w:r>
              <w:rPr>
                <w:rFonts w:ascii="Calibri" w:hAnsi="Calibri" w:eastAsia="宋体" w:cs="Calibri"/>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年度绩效指标完成情况</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13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产出指标（50）</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药品收入占总收入的比重</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25.82%</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13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药品质量合格率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13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供应及时性</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w:t>
            </w: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113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按成本销售率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3" w:hRule="atLeast"/>
          <w:jc w:val="center"/>
        </w:trPr>
        <w:tc>
          <w:tcPr>
            <w:tcW w:w="113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（10分）</w:t>
            </w:r>
          </w:p>
        </w:tc>
        <w:tc>
          <w:tcPr>
            <w:tcW w:w="111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jc w:val="center"/>
        </w:trPr>
        <w:tc>
          <w:tcPr>
            <w:tcW w:w="113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效益指标（30）</w:t>
            </w:r>
          </w:p>
        </w:tc>
        <w:tc>
          <w:tcPr>
            <w:tcW w:w="111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次均药费降低</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较以前降低</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较以前降低</w:t>
            </w:r>
          </w:p>
        </w:tc>
        <w:tc>
          <w:tcPr>
            <w:tcW w:w="16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jc w:val="center"/>
        </w:trPr>
        <w:tc>
          <w:tcPr>
            <w:tcW w:w="113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（10分）</w:t>
            </w:r>
          </w:p>
        </w:tc>
        <w:tc>
          <w:tcPr>
            <w:tcW w:w="111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患者对药品价格的满意度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113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6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5" w:hRule="atLeast"/>
          <w:jc w:val="center"/>
        </w:trPr>
        <w:tc>
          <w:tcPr>
            <w:tcW w:w="113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w:t>
            </w:r>
            <w:r>
              <w:rPr>
                <w:rFonts w:ascii="Calibri" w:hAnsi="Calibri" w:eastAsia="宋体" w:cs="Calibri"/>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存在问题、原因及下一步整改措施</w:t>
            </w:r>
          </w:p>
        </w:tc>
        <w:tc>
          <w:tcPr>
            <w:tcW w:w="830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352" w:type="dxa"/>
            <w:gridSpan w:val="2"/>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填报人：刘淑国</w:t>
            </w:r>
          </w:p>
        </w:tc>
        <w:tc>
          <w:tcPr>
            <w:tcW w:w="111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97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09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4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771" w:type="dxa"/>
            <w:gridSpan w:val="2"/>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联系电话：68018378</w:t>
            </w:r>
          </w:p>
        </w:tc>
      </w:tr>
    </w:tbl>
    <w:p>
      <w:pPr>
        <w:numPr>
          <w:ilvl w:val="0"/>
          <w:numId w:val="0"/>
        </w:numPr>
        <w:adjustRightInd w:val="0"/>
        <w:snapToGrid w:val="0"/>
        <w:spacing w:line="58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部门评价项目绩效评价结果</w:t>
      </w:r>
    </w:p>
    <w:p>
      <w:pPr>
        <w:numPr>
          <w:ilvl w:val="0"/>
          <w:numId w:val="0"/>
        </w:numPr>
        <w:adjustRightInd w:val="0"/>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年度无相关项目。</w:t>
      </w:r>
    </w:p>
    <w:p>
      <w:pPr>
        <w:adjustRightInd w:val="0"/>
        <w:snapToGrid w:val="0"/>
        <w:spacing w:line="580" w:lineRule="exact"/>
        <w:ind w:firstLine="640" w:firstLineChars="200"/>
        <w:rPr>
          <w:rFonts w:ascii="楷体_GB2312" w:hAnsi="Times New Roman" w:eastAsia="楷体_GB2312" w:cs="DengXian-Bold"/>
          <w:b/>
          <w:bCs/>
          <w:sz w:val="32"/>
          <w:szCs w:val="32"/>
        </w:rPr>
      </w:pPr>
      <w:r>
        <w:rPr>
          <w:rFonts w:hint="eastAsia" w:ascii="黑体" w:hAnsi="Calibri" w:eastAsia="黑体" w:cs="Times New Roman"/>
          <w:sz w:val="32"/>
          <w:szCs w:val="32"/>
        </w:rPr>
        <w:t>十、其他需要说明的情况</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1. 本</w:t>
      </w:r>
      <w:r>
        <w:rPr>
          <w:rFonts w:hint="eastAsia" w:ascii="仿宋_GB2312" w:hAnsi="Times New Roman" w:eastAsia="仿宋_GB2312" w:cs="DengXian-Regular"/>
          <w:sz w:val="32"/>
          <w:szCs w:val="32"/>
          <w:lang w:eastAsia="zh-CN"/>
        </w:rPr>
        <w:t>单位</w:t>
      </w:r>
      <w:r>
        <w:rPr>
          <w:rFonts w:hint="eastAsia" w:ascii="仿宋_GB2312" w:hAnsi="Times New Roman" w:eastAsia="仿宋_GB2312" w:cs="DengXian-Regular"/>
          <w:sz w:val="32"/>
          <w:szCs w:val="32"/>
        </w:rPr>
        <w:t>2023年度无一般公共预算财政拨款基本支出情况</w:t>
      </w:r>
      <w:r>
        <w:rPr>
          <w:rFonts w:hint="eastAsia" w:ascii="仿宋_GB2312" w:hAnsi="Times New Roman" w:eastAsia="仿宋_GB2312" w:cs="DengXian-Regular"/>
          <w:sz w:val="32"/>
          <w:szCs w:val="32"/>
          <w:lang w:eastAsia="zh-CN"/>
        </w:rPr>
        <w:t>、</w:t>
      </w:r>
      <w:r>
        <w:rPr>
          <w:rFonts w:hint="eastAsia" w:ascii="仿宋_GB2312" w:hAnsi="Times New Roman" w:eastAsia="仿宋_GB2312" w:cs="DengXian-Regular"/>
          <w:sz w:val="32"/>
          <w:szCs w:val="32"/>
        </w:rPr>
        <w:t>无政府性基金预算收支及结转结余情况、无国有资本经营预算财政拨款支出情况、无财政拨款“三公”经费支出情况，</w:t>
      </w:r>
      <w:r>
        <w:rPr>
          <w:rFonts w:hint="eastAsia" w:ascii="仿宋_GB2312" w:hAnsi="Times New Roman" w:eastAsia="仿宋_GB2312" w:cs="DengXian-Regular"/>
          <w:sz w:val="32"/>
          <w:szCs w:val="32"/>
          <w:lang w:eastAsia="zh-CN"/>
        </w:rPr>
        <w:t>按要求</w:t>
      </w:r>
      <w:r>
        <w:rPr>
          <w:rFonts w:hint="eastAsia" w:ascii="仿宋_GB2312" w:hAnsi="Times New Roman" w:eastAsia="仿宋_GB2312" w:cs="DengXian-Regular"/>
          <w:sz w:val="32"/>
          <w:szCs w:val="32"/>
        </w:rPr>
        <w:t>以空表列示。</w:t>
      </w:r>
    </w:p>
    <w:p>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_GB2312" w:hAnsi="Times New Roman" w:eastAsia="仿宋_GB2312" w:cs="DengXian-Regular"/>
          <w:sz w:val="32"/>
          <w:szCs w:val="32"/>
        </w:rPr>
        <w:t>2. 由于决算公开表格中金额数值应当保留两位小数，公开数据为四舍五入计算结果，个别数据合计项与分项之和存在小数点后差额，特此说明。</w:t>
      </w: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widowControl/>
        <w:spacing w:line="580" w:lineRule="exact"/>
        <w:ind w:firstLine="883" w:firstLineChars="200"/>
        <w:jc w:val="left"/>
        <w:rPr>
          <w:rFonts w:ascii="宋体" w:hAnsi="宋体" w:eastAsia="宋体" w:cs="MS-UIGothic,Bold"/>
          <w:b/>
          <w:bCs/>
          <w:kern w:val="0"/>
          <w:sz w:val="44"/>
          <w:szCs w:val="44"/>
        </w:rPr>
      </w:pPr>
    </w:p>
    <w:p>
      <w:pPr>
        <w:rPr>
          <w:rFonts w:ascii="仿宋_GB2312" w:hAnsi="宋体" w:eastAsia="仿宋_GB2312" w:cs="ArialUnicodeMS"/>
          <w:sz w:val="32"/>
          <w:szCs w:val="32"/>
        </w:rPr>
      </w:pPr>
    </w:p>
    <w:p>
      <w:pPr>
        <w:widowControl/>
        <w:jc w:val="center"/>
        <w:rPr>
          <w:rFonts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p>
    <w:p>
      <w:pPr>
        <w:widowControl/>
        <w:jc w:val="center"/>
        <w:rPr>
          <w:rFonts w:hint="eastAsia"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p>
    <w:p>
      <w:pPr>
        <w:widowControl/>
        <w:jc w:val="center"/>
        <w:rPr>
          <w:sz w:val="44"/>
          <w:szCs w:val="44"/>
          <w14:textOutline w14:w="9525" w14:cap="flat" w14:cmpd="sng" w14:algn="ctr">
            <w14:solidFill>
              <w14:schemeClr w14:val="tx1">
                <w14:lumMod w14:val="50000"/>
                <w14:lumOff w14:val="50000"/>
              </w14:schemeClr>
            </w14:solidFill>
            <w14:prstDash w14:val="solid"/>
            <w14:round/>
          </w14:textOutline>
        </w:rPr>
      </w:pPr>
      <w:r>
        <w:rPr>
          <w:rFonts w:hint="eastAsia" w:ascii="黑体" w:hAnsi="黑体" w:eastAsia="黑体" w:cs="黑体"/>
          <w:color w:val="000000" w:themeColor="text1"/>
          <w:sz w:val="44"/>
          <w:szCs w:val="44"/>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第四部分 名词解释</w:t>
      </w:r>
    </w:p>
    <w:p>
      <w:pPr>
        <w:rPr>
          <w:rFonts w:ascii="仿宋_GB2312" w:hAnsi="宋体" w:eastAsia="仿宋_GB2312" w:cs="ArialUnicodeMS"/>
          <w:sz w:val="32"/>
          <w:szCs w:val="32"/>
        </w:rPr>
      </w:pPr>
    </w:p>
    <w:p>
      <w:pPr>
        <w:numPr>
          <w:ilvl w:val="0"/>
          <w:numId w:val="3"/>
        </w:num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
          <w:bCs/>
          <w:color w:val="000000"/>
          <w:kern w:val="0"/>
          <w:sz w:val="32"/>
          <w:szCs w:val="32"/>
        </w:rPr>
        <w:t>财政拨款收入：</w:t>
      </w:r>
      <w:r>
        <w:rPr>
          <w:rFonts w:hint="eastAsia" w:ascii="仿宋_GB2312" w:hAnsi="宋体" w:eastAsia="仿宋_GB2312" w:cs="Times New Roman"/>
          <w:bCs/>
          <w:color w:val="000000"/>
          <w:kern w:val="0"/>
          <w:sz w:val="32"/>
          <w:szCs w:val="32"/>
        </w:rPr>
        <w:t>指单位从同级财政</w:t>
      </w:r>
      <w:bookmarkStart w:id="0" w:name="_GoBack"/>
      <w:bookmarkEnd w:id="0"/>
      <w:r>
        <w:rPr>
          <w:rFonts w:hint="eastAsia" w:ascii="仿宋_GB2312" w:hAnsi="宋体" w:eastAsia="仿宋_GB2312" w:cs="Times New Roman"/>
          <w:bCs/>
          <w:color w:val="000000"/>
          <w:kern w:val="0"/>
          <w:sz w:val="32"/>
          <w:szCs w:val="32"/>
        </w:rPr>
        <w:t>部门取得的财政预</w:t>
      </w:r>
    </w:p>
    <w:p>
      <w:p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Cs/>
          <w:color w:val="000000"/>
          <w:kern w:val="0"/>
          <w:sz w:val="32"/>
          <w:szCs w:val="32"/>
        </w:rPr>
        <w:t>算资金。</w:t>
      </w:r>
    </w:p>
    <w:p>
      <w:pPr>
        <w:numPr>
          <w:ilvl w:val="0"/>
          <w:numId w:val="3"/>
        </w:num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
          <w:bCs/>
          <w:color w:val="000000"/>
          <w:kern w:val="0"/>
          <w:sz w:val="32"/>
          <w:szCs w:val="32"/>
        </w:rPr>
        <w:t>事业收入：</w:t>
      </w:r>
      <w:r>
        <w:rPr>
          <w:rFonts w:hint="eastAsia" w:ascii="仿宋_GB2312" w:hAnsi="宋体" w:eastAsia="仿宋_GB2312" w:cs="Times New Roman"/>
          <w:bCs/>
          <w:color w:val="000000"/>
          <w:kern w:val="0"/>
          <w:sz w:val="32"/>
          <w:szCs w:val="32"/>
        </w:rPr>
        <w:t>指事业单位开展专业业务活动及辅助活动</w:t>
      </w:r>
    </w:p>
    <w:p>
      <w:p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Cs/>
          <w:color w:val="000000"/>
          <w:kern w:val="0"/>
          <w:sz w:val="32"/>
          <w:szCs w:val="32"/>
        </w:rPr>
        <w:t>取得的收入。</w:t>
      </w:r>
    </w:p>
    <w:p>
      <w:pPr>
        <w:numPr>
          <w:ilvl w:val="0"/>
          <w:numId w:val="3"/>
        </w:num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
          <w:bCs/>
          <w:color w:val="000000"/>
          <w:kern w:val="0"/>
          <w:sz w:val="32"/>
          <w:szCs w:val="32"/>
        </w:rPr>
        <w:t>经营收入：</w:t>
      </w:r>
      <w:r>
        <w:rPr>
          <w:rFonts w:hint="eastAsia" w:ascii="仿宋_GB2312" w:hAnsi="宋体" w:eastAsia="仿宋_GB2312" w:cs="Times New Roman"/>
          <w:bCs/>
          <w:color w:val="000000"/>
          <w:kern w:val="0"/>
          <w:sz w:val="32"/>
          <w:szCs w:val="32"/>
        </w:rPr>
        <w:t>指事业单位在专业业务活动及其辅助活动</w:t>
      </w:r>
    </w:p>
    <w:p>
      <w:p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Cs/>
          <w:color w:val="000000"/>
          <w:kern w:val="0"/>
          <w:sz w:val="32"/>
          <w:szCs w:val="32"/>
        </w:rPr>
        <w:t>之外开展非独立核算经营活动取得的收入。</w:t>
      </w:r>
    </w:p>
    <w:p>
      <w:pPr>
        <w:numPr>
          <w:ilvl w:val="0"/>
          <w:numId w:val="3"/>
        </w:num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
          <w:bCs/>
          <w:color w:val="000000"/>
          <w:kern w:val="0"/>
          <w:sz w:val="32"/>
          <w:szCs w:val="32"/>
        </w:rPr>
        <w:t>其他收入：</w:t>
      </w:r>
      <w:r>
        <w:rPr>
          <w:rFonts w:hint="eastAsia" w:ascii="仿宋_GB2312" w:hAnsi="宋体" w:eastAsia="仿宋_GB2312" w:cs="Times New Roman"/>
          <w:bCs/>
          <w:color w:val="000000"/>
          <w:kern w:val="0"/>
          <w:sz w:val="32"/>
          <w:szCs w:val="32"/>
        </w:rPr>
        <w:t>指单位取得的除上述收入以外的各项收</w:t>
      </w:r>
    </w:p>
    <w:p>
      <w:pPr>
        <w:spacing w:line="580" w:lineRule="exact"/>
        <w:rPr>
          <w:rFonts w:ascii="仿宋_GB2312" w:hAnsi="宋体" w:eastAsia="仿宋_GB2312" w:cs="Times New Roman"/>
          <w:b/>
          <w:bCs/>
          <w:color w:val="000000"/>
          <w:kern w:val="0"/>
          <w:sz w:val="32"/>
          <w:szCs w:val="32"/>
        </w:rPr>
      </w:pPr>
      <w:r>
        <w:rPr>
          <w:rFonts w:hint="eastAsia" w:ascii="仿宋_GB2312" w:hAnsi="宋体" w:eastAsia="仿宋_GB2312" w:cs="Times New Roman"/>
          <w:bCs/>
          <w:color w:val="000000"/>
          <w:kern w:val="0"/>
          <w:sz w:val="32"/>
          <w:szCs w:val="32"/>
        </w:rPr>
        <w:t>入。主要是事业单位固定资产出租收入、存款利息收入等。</w:t>
      </w:r>
    </w:p>
    <w:p>
      <w:p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
          <w:bCs/>
          <w:color w:val="000000"/>
          <w:kern w:val="0"/>
          <w:sz w:val="32"/>
          <w:szCs w:val="32"/>
        </w:rPr>
        <w:t xml:space="preserve">   五、使用非财政拨款结余（含专用结余）：</w:t>
      </w:r>
      <w:r>
        <w:rPr>
          <w:rFonts w:hint="eastAsia" w:ascii="仿宋_GB2312" w:hAnsi="宋体" w:eastAsia="仿宋_GB2312" w:cs="Times New Roman"/>
          <w:bCs/>
          <w:color w:val="000000"/>
          <w:kern w:val="0"/>
          <w:sz w:val="32"/>
          <w:szCs w:val="32"/>
        </w:rPr>
        <w:t>指事业单位按照预算管理要求使用非财政拨款结余弥补收支差额的金额，以及使用专用结余安排支出的金额。</w:t>
      </w:r>
    </w:p>
    <w:p>
      <w:pPr>
        <w:numPr>
          <w:ilvl w:val="0"/>
          <w:numId w:val="4"/>
        </w:num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
          <w:bCs/>
          <w:color w:val="000000"/>
          <w:kern w:val="0"/>
          <w:sz w:val="32"/>
          <w:szCs w:val="32"/>
        </w:rPr>
        <w:t>年初结转和结余：</w:t>
      </w:r>
      <w:r>
        <w:rPr>
          <w:rFonts w:hint="eastAsia" w:ascii="仿宋_GB2312" w:hAnsi="宋体" w:eastAsia="仿宋_GB2312" w:cs="Times New Roman"/>
          <w:bCs/>
          <w:color w:val="000000"/>
          <w:kern w:val="0"/>
          <w:sz w:val="32"/>
          <w:szCs w:val="32"/>
        </w:rPr>
        <w:t>指单位以前年度尚未完成、结转到</w:t>
      </w:r>
    </w:p>
    <w:p>
      <w:p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Cs/>
          <w:color w:val="000000"/>
          <w:kern w:val="0"/>
          <w:sz w:val="32"/>
          <w:szCs w:val="32"/>
        </w:rPr>
        <w:t>本年仍按原规定用途继续使用的资金，或项目已完成等产生的结余资金。</w:t>
      </w:r>
    </w:p>
    <w:p>
      <w:pPr>
        <w:numPr>
          <w:ilvl w:val="0"/>
          <w:numId w:val="4"/>
        </w:num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
          <w:bCs/>
          <w:color w:val="000000"/>
          <w:kern w:val="0"/>
          <w:sz w:val="32"/>
          <w:szCs w:val="32"/>
        </w:rPr>
        <w:t>结余分配：</w:t>
      </w:r>
      <w:r>
        <w:rPr>
          <w:rFonts w:hint="eastAsia" w:ascii="仿宋_GB2312" w:hAnsi="宋体" w:eastAsia="仿宋_GB2312" w:cs="Times New Roman"/>
          <w:bCs/>
          <w:color w:val="000000"/>
          <w:kern w:val="0"/>
          <w:sz w:val="32"/>
          <w:szCs w:val="32"/>
        </w:rPr>
        <w:t>指事业单位按照会计制度规定缴纳的所得</w:t>
      </w:r>
    </w:p>
    <w:p>
      <w:p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Cs/>
          <w:color w:val="000000"/>
          <w:kern w:val="0"/>
          <w:sz w:val="32"/>
          <w:szCs w:val="32"/>
        </w:rPr>
        <w:t>税、提取的专用结余以及转入非财政拨款结余的金额等。</w:t>
      </w:r>
    </w:p>
    <w:p>
      <w:pPr>
        <w:numPr>
          <w:ilvl w:val="0"/>
          <w:numId w:val="4"/>
        </w:num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
          <w:bCs/>
          <w:color w:val="000000"/>
          <w:kern w:val="0"/>
          <w:sz w:val="32"/>
          <w:szCs w:val="32"/>
        </w:rPr>
        <w:t>年末结转和结余：</w:t>
      </w:r>
      <w:r>
        <w:rPr>
          <w:rFonts w:hint="eastAsia" w:ascii="仿宋_GB2312" w:hAnsi="宋体" w:eastAsia="仿宋_GB2312" w:cs="Times New Roman"/>
          <w:bCs/>
          <w:color w:val="000000"/>
          <w:kern w:val="0"/>
          <w:sz w:val="32"/>
          <w:szCs w:val="32"/>
        </w:rPr>
        <w:t>指单位按有关规定结转到下年或以</w:t>
      </w:r>
    </w:p>
    <w:p>
      <w:p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Cs/>
          <w:color w:val="000000"/>
          <w:kern w:val="0"/>
          <w:sz w:val="32"/>
          <w:szCs w:val="32"/>
        </w:rPr>
        <w:t>后年度继续使用的资金，或项目已完成等产生的结余资金。</w:t>
      </w:r>
    </w:p>
    <w:p>
      <w:pPr>
        <w:numPr>
          <w:ilvl w:val="0"/>
          <w:numId w:val="4"/>
        </w:num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
          <w:bCs/>
          <w:color w:val="000000"/>
          <w:kern w:val="0"/>
          <w:sz w:val="32"/>
          <w:szCs w:val="32"/>
        </w:rPr>
        <w:t>基本支出：</w:t>
      </w:r>
      <w:r>
        <w:rPr>
          <w:rFonts w:hint="eastAsia" w:ascii="仿宋_GB2312" w:hAnsi="宋体" w:eastAsia="仿宋_GB2312" w:cs="Times New Roman"/>
          <w:bCs/>
          <w:color w:val="000000"/>
          <w:kern w:val="0"/>
          <w:sz w:val="32"/>
          <w:szCs w:val="32"/>
        </w:rPr>
        <w:t>指为保障机构正常运转、完成日常工作任</w:t>
      </w:r>
    </w:p>
    <w:p>
      <w:pPr>
        <w:spacing w:line="580" w:lineRule="exact"/>
        <w:rPr>
          <w:rFonts w:ascii="仿宋_GB2312" w:hAnsi="宋体" w:eastAsia="仿宋_GB2312" w:cs="Times New Roman"/>
          <w:bCs/>
          <w:color w:val="000000"/>
          <w:kern w:val="0"/>
          <w:sz w:val="32"/>
          <w:szCs w:val="32"/>
        </w:rPr>
      </w:pPr>
      <w:r>
        <w:rPr>
          <w:rFonts w:hint="eastAsia" w:ascii="仿宋_GB2312" w:hAnsi="宋体" w:eastAsia="仿宋_GB2312" w:cs="Times New Roman"/>
          <w:bCs/>
          <w:color w:val="000000"/>
          <w:kern w:val="0"/>
          <w:sz w:val="32"/>
          <w:szCs w:val="32"/>
        </w:rPr>
        <w:t>务而发生的人员支出和公用支出。</w:t>
      </w:r>
    </w:p>
    <w:p>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十、项目支出：</w:t>
      </w:r>
      <w:r>
        <w:rPr>
          <w:rFonts w:hint="eastAsia" w:ascii="仿宋_GB2312" w:hAnsi="宋体" w:eastAsia="仿宋_GB2312" w:cs="Times New Roman"/>
          <w:color w:val="000000"/>
          <w:kern w:val="0"/>
          <w:sz w:val="32"/>
          <w:szCs w:val="32"/>
        </w:rPr>
        <w:t>指在基本支出之外为完成特定行政任务和事业发展目标所发生的支出。</w:t>
      </w:r>
    </w:p>
    <w:p>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十一、经营支出 ：</w:t>
      </w:r>
      <w:r>
        <w:rPr>
          <w:rFonts w:hint="eastAsia" w:ascii="仿宋_GB2312" w:hAnsi="宋体" w:eastAsia="仿宋_GB2312" w:cs="Times New Roman"/>
          <w:color w:val="000000"/>
          <w:kern w:val="0"/>
          <w:sz w:val="32"/>
          <w:szCs w:val="32"/>
        </w:rPr>
        <w:t>指事业单位在专业业务活动及其辅助活动之外开展非独立核算经营活动发生的支出。</w:t>
      </w:r>
    </w:p>
    <w:p>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十二、基本建设支出：</w:t>
      </w:r>
      <w:r>
        <w:rPr>
          <w:rFonts w:hint="eastAsia" w:ascii="仿宋_GB2312" w:hAnsi="宋体" w:eastAsia="仿宋_GB2312" w:cs="Times New Roman"/>
          <w:color w:val="000000"/>
          <w:kern w:val="0"/>
          <w:sz w:val="32"/>
          <w:szCs w:val="32"/>
        </w:rPr>
        <w:t>填列由本级发展与改革部门集中安排的用于购置固定资产、战略性和应急性储备、土地和无形资产，以及购建基础设施、大型修缮所发生的一般公共预算财政拨款支出，不包括政府性基金、财政专户管理资金以及各类拼盘自筹资金等。</w:t>
      </w:r>
    </w:p>
    <w:p>
      <w:pPr>
        <w:widowControl/>
        <w:spacing w:line="560" w:lineRule="exact"/>
        <w:ind w:firstLine="643" w:firstLineChars="200"/>
        <w:rPr>
          <w:rFonts w:ascii="仿宋_GB2312" w:hAnsi="宋体" w:eastAsia="仿宋_GB2312" w:cs="Times New Roman"/>
          <w:b/>
          <w:bCs/>
          <w:color w:val="000000"/>
          <w:kern w:val="0"/>
          <w:sz w:val="32"/>
          <w:szCs w:val="32"/>
        </w:rPr>
      </w:pPr>
      <w:r>
        <w:rPr>
          <w:rFonts w:hint="eastAsia" w:ascii="仿宋_GB2312" w:hAnsi="宋体" w:eastAsia="仿宋_GB2312" w:cs="Times New Roman"/>
          <w:b/>
          <w:bCs/>
          <w:color w:val="000000"/>
          <w:kern w:val="0"/>
          <w:sz w:val="32"/>
          <w:szCs w:val="32"/>
        </w:rPr>
        <w:t>十三、其他资本性支出：</w:t>
      </w:r>
      <w:r>
        <w:rPr>
          <w:rFonts w:hint="eastAsia" w:ascii="仿宋_GB2312" w:hAnsi="宋体" w:eastAsia="仿宋_GB2312" w:cs="Times New Roman"/>
          <w:color w:val="000000"/>
          <w:kern w:val="0"/>
          <w:sz w:val="32"/>
          <w:szCs w:val="32"/>
        </w:rPr>
        <w:t>填列由各级非发展与改革部门集中安排的用于购置固定资产、战备性和应急性储备、土地和无形资产，以及购建基础设施、大型修缮和财政支持企业更新改造所发生的支出。</w:t>
      </w:r>
    </w:p>
    <w:p>
      <w:pPr>
        <w:snapToGrid w:val="0"/>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十四、“三公”经费：</w:t>
      </w:r>
      <w:r>
        <w:rPr>
          <w:rFonts w:hint="eastAsia" w:ascii="仿宋_GB2312" w:hAnsi="宋体" w:eastAsia="仿宋_GB2312" w:cs="Times New Roman"/>
          <w:color w:val="000000"/>
          <w:kern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按规定保留的公务用车燃料费、维修费、过桥过路费、保险费、安全奖励费用等支出；公务接待费反映单位按规定开支的各类公务接待（含外宾接待）支出。</w:t>
      </w:r>
    </w:p>
    <w:p>
      <w:pPr>
        <w:snapToGrid w:val="0"/>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十五、其他交通费用：</w:t>
      </w:r>
      <w:r>
        <w:rPr>
          <w:rFonts w:hint="eastAsia" w:ascii="仿宋_GB2312" w:hAnsi="宋体" w:eastAsia="仿宋_GB2312" w:cs="Times New Roman"/>
          <w:color w:val="000000"/>
          <w:kern w:val="0"/>
          <w:sz w:val="32"/>
          <w:szCs w:val="32"/>
        </w:rPr>
        <w:t>填列单位除公务用车运行维护费以外的其他交通费用。如公务交通补贴、租车费用、出租车费用，飞机、船舶等燃料费、维修费、保险费等。</w:t>
      </w:r>
    </w:p>
    <w:p>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十六、公务用车购置：</w:t>
      </w:r>
      <w:r>
        <w:rPr>
          <w:rFonts w:hint="eastAsia" w:ascii="仿宋_GB2312" w:hAnsi="宋体" w:eastAsia="仿宋_GB2312" w:cs="Times New Roman"/>
          <w:color w:val="000000"/>
          <w:kern w:val="0"/>
          <w:sz w:val="32"/>
          <w:szCs w:val="32"/>
        </w:rPr>
        <w:t>填列单位公务用车车辆购置支出（含车辆购置税、牌照费）。</w:t>
      </w:r>
    </w:p>
    <w:p>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十七、其他交通工具购置：</w:t>
      </w:r>
      <w:r>
        <w:rPr>
          <w:rFonts w:hint="eastAsia" w:ascii="仿宋_GB2312" w:hAnsi="宋体" w:eastAsia="仿宋_GB2312" w:cs="Times New Roman"/>
          <w:color w:val="000000"/>
          <w:kern w:val="0"/>
          <w:sz w:val="32"/>
          <w:szCs w:val="32"/>
        </w:rPr>
        <w:t>填列单位除公务用车外的其他各类交通工具（如船舶、飞机等）购置支出（含车辆购置税、牌照费）。</w:t>
      </w:r>
    </w:p>
    <w:p>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十八、机关运行经费：</w:t>
      </w:r>
      <w:r>
        <w:rPr>
          <w:rFonts w:hint="eastAsia" w:ascii="仿宋_GB2312" w:hAnsi="宋体" w:eastAsia="仿宋_GB2312" w:cs="Times New Roman"/>
          <w:color w:val="000000"/>
          <w:kern w:val="0"/>
          <w:sz w:val="32"/>
          <w:szCs w:val="32"/>
        </w:rPr>
        <w:t>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pPr>
        <w:tabs>
          <w:tab w:val="left" w:pos="235"/>
        </w:tabs>
        <w:ind w:firstLine="643" w:firstLineChars="200"/>
        <w:jc w:val="left"/>
        <w:rPr>
          <w:rFonts w:ascii="仿宋_GB2312" w:hAnsi="Cambria" w:eastAsia="仿宋_GB2312" w:cs="ArialUnicodeMS"/>
          <w:kern w:val="0"/>
          <w:sz w:val="32"/>
          <w:szCs w:val="32"/>
        </w:rPr>
      </w:pPr>
      <w:r>
        <w:rPr>
          <w:rFonts w:hint="eastAsia" w:ascii="仿宋_GB2312" w:hAnsi="宋体" w:eastAsia="仿宋_GB2312" w:cs="Times New Roman"/>
          <w:b/>
          <w:bCs/>
          <w:color w:val="000000"/>
          <w:kern w:val="0"/>
          <w:sz w:val="32"/>
          <w:szCs w:val="32"/>
        </w:rPr>
        <w:t>十九、经费形式:</w:t>
      </w:r>
      <w:r>
        <w:rPr>
          <w:rFonts w:hint="eastAsia" w:ascii="仿宋_GB2312" w:hAnsi="宋体" w:eastAsia="仿宋_GB2312" w:cs="Times New Roman"/>
          <w:color w:val="000000"/>
          <w:kern w:val="0"/>
          <w:sz w:val="32"/>
          <w:szCs w:val="32"/>
        </w:rPr>
        <w:t>按照经费来源，</w:t>
      </w:r>
      <w:r>
        <w:rPr>
          <w:rFonts w:hint="eastAsia" w:ascii="仿宋_GB2312" w:hAnsi="Cambria" w:eastAsia="仿宋_GB2312" w:cs="ArialUnicodeMS"/>
          <w:kern w:val="0"/>
          <w:sz w:val="32"/>
          <w:szCs w:val="32"/>
        </w:rPr>
        <w:t>可分为财政拨款、财政性资金基本保证、财政性资金定额或定项补助、财政性资金零补助四类</w:t>
      </w:r>
    </w:p>
    <w:p/>
    <w:sectPr>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方正魏碑简体">
    <w:altName w:val="微软雅黑"/>
    <w:panose1 w:val="00000000000000000000"/>
    <w:charset w:val="86"/>
    <w:family w:val="auto"/>
    <w:pitch w:val="default"/>
    <w:sig w:usb0="00000000" w:usb1="00000000" w:usb2="00000010" w:usb3="00000000" w:csb0="00040000" w:csb1="00000000"/>
  </w:font>
  <w:font w:name="思源黑体 CN Heavy">
    <w:altName w:val="黑体"/>
    <w:panose1 w:val="00000000000000000000"/>
    <w:charset w:val="86"/>
    <w:family w:val="swiss"/>
    <w:pitch w:val="default"/>
    <w:sig w:usb0="00000000" w:usb1="00000000" w:usb2="00000016" w:usb3="00000000" w:csb0="00060107" w:csb1="00000000"/>
  </w:font>
  <w:font w:name="仿宋_GB2312">
    <w:altName w:val="仿宋"/>
    <w:panose1 w:val="02010609030101010101"/>
    <w:charset w:val="86"/>
    <w:family w:val="modern"/>
    <w:pitch w:val="default"/>
    <w:sig w:usb0="00000000" w:usb1="00000000" w:usb2="00000000" w:usb3="00000000" w:csb0="00040000" w:csb1="00000000"/>
  </w:font>
  <w:font w:name="ArialUnicodeMS">
    <w:altName w:val="Malgun Gothic"/>
    <w:panose1 w:val="00000000000000000000"/>
    <w:charset w:val="81"/>
    <w:family w:val="auto"/>
    <w:pitch w:val="default"/>
    <w:sig w:usb0="00000000" w:usb1="00000000" w:usb2="00000010" w:usb3="00000000" w:csb0="00080001" w:csb1="00000000"/>
  </w:font>
  <w:font w:name="Cambria">
    <w:panose1 w:val="02040503050406030204"/>
    <w:charset w:val="00"/>
    <w:family w:val="roman"/>
    <w:pitch w:val="default"/>
    <w:sig w:usb0="E00002FF" w:usb1="400004FF" w:usb2="00000000" w:usb3="00000000" w:csb0="2000019F" w:csb1="00000000"/>
  </w:font>
  <w:font w:name="DengXian-Regular">
    <w:altName w:val="宋体"/>
    <w:panose1 w:val="00000000000000000000"/>
    <w:charset w:val="86"/>
    <w:family w:val="auto"/>
    <w:pitch w:val="default"/>
    <w:sig w:usb0="00000000" w:usb1="00000000" w:usb2="00000010" w:usb3="00000000" w:csb0="00040001" w:csb1="00000000"/>
  </w:font>
  <w:font w:name="DengXian-Bold">
    <w:altName w:val="宋体"/>
    <w:panose1 w:val="00000000000000000000"/>
    <w:charset w:val="86"/>
    <w:family w:val="auto"/>
    <w:pitch w:val="default"/>
    <w:sig w:usb0="00000000" w:usb1="00000000" w:usb2="00000010"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 w:name="MS-UIGothic,Bold">
    <w:altName w:val="Malgun Gothic"/>
    <w:panose1 w:val="00000000000000000000"/>
    <w:charset w:val="81"/>
    <w:family w:val="auto"/>
    <w:pitch w:val="default"/>
    <w:sig w:usb0="00000000" w:usb1="00000000" w:usb2="00000010" w:usb3="00000000" w:csb0="0008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384AB9"/>
    <w:multiLevelType w:val="singleLevel"/>
    <w:tmpl w:val="B4384AB9"/>
    <w:lvl w:ilvl="0" w:tentative="0">
      <w:start w:val="2"/>
      <w:numFmt w:val="chineseCounting"/>
      <w:suff w:val="space"/>
      <w:lvlText w:val="第%1部分"/>
      <w:lvlJc w:val="left"/>
      <w:pPr>
        <w:ind w:left="1760" w:firstLine="0"/>
      </w:pPr>
      <w:rPr>
        <w:rFonts w:hint="eastAsia"/>
      </w:rPr>
    </w:lvl>
  </w:abstractNum>
  <w:abstractNum w:abstractNumId="1">
    <w:nsid w:val="45DB9A87"/>
    <w:multiLevelType w:val="singleLevel"/>
    <w:tmpl w:val="45DB9A87"/>
    <w:lvl w:ilvl="0" w:tentative="0">
      <w:start w:val="3"/>
      <w:numFmt w:val="chineseCounting"/>
      <w:suff w:val="nothing"/>
      <w:lvlText w:val="（%1）"/>
      <w:lvlJc w:val="left"/>
      <w:rPr>
        <w:rFonts w:hint="eastAsia"/>
      </w:rPr>
    </w:lvl>
  </w:abstractNum>
  <w:abstractNum w:abstractNumId="2">
    <w:nsid w:val="486A544E"/>
    <w:multiLevelType w:val="multilevel"/>
    <w:tmpl w:val="486A544E"/>
    <w:lvl w:ilvl="0" w:tentative="0">
      <w:start w:val="6"/>
      <w:numFmt w:val="japaneseCounting"/>
      <w:lvlText w:val="%1、"/>
      <w:lvlJc w:val="left"/>
      <w:pPr>
        <w:ind w:left="1360" w:hanging="720"/>
      </w:pPr>
      <w:rPr>
        <w:rFonts w:hint="default"/>
        <w:b/>
        <w:u w:val="none"/>
      </w:rPr>
    </w:lvl>
    <w:lvl w:ilvl="1" w:tentative="0">
      <w:start w:val="1"/>
      <w:numFmt w:val="lowerLetter"/>
      <w:lvlText w:val="%2)"/>
      <w:lvlJc w:val="left"/>
      <w:pPr>
        <w:ind w:left="1480" w:hanging="420"/>
      </w:pPr>
      <w:rPr>
        <w:rFonts w:hint="default"/>
        <w:u w:val="none"/>
      </w:rPr>
    </w:lvl>
    <w:lvl w:ilvl="2" w:tentative="0">
      <w:start w:val="1"/>
      <w:numFmt w:val="lowerRoman"/>
      <w:lvlText w:val="%3."/>
      <w:lvlJc w:val="right"/>
      <w:pPr>
        <w:ind w:left="1900" w:hanging="420"/>
      </w:pPr>
      <w:rPr>
        <w:rFonts w:hint="default"/>
        <w:u w:val="none"/>
      </w:rPr>
    </w:lvl>
    <w:lvl w:ilvl="3" w:tentative="0">
      <w:start w:val="1"/>
      <w:numFmt w:val="decimal"/>
      <w:lvlText w:val="%4."/>
      <w:lvlJc w:val="left"/>
      <w:pPr>
        <w:ind w:left="2320" w:hanging="420"/>
      </w:pPr>
      <w:rPr>
        <w:rFonts w:hint="default"/>
        <w:u w:val="none"/>
      </w:rPr>
    </w:lvl>
    <w:lvl w:ilvl="4" w:tentative="0">
      <w:start w:val="1"/>
      <w:numFmt w:val="lowerLetter"/>
      <w:lvlText w:val="%5)"/>
      <w:lvlJc w:val="left"/>
      <w:pPr>
        <w:ind w:left="2740" w:hanging="420"/>
      </w:pPr>
      <w:rPr>
        <w:rFonts w:hint="default"/>
        <w:u w:val="none"/>
      </w:rPr>
    </w:lvl>
    <w:lvl w:ilvl="5" w:tentative="0">
      <w:start w:val="1"/>
      <w:numFmt w:val="lowerRoman"/>
      <w:lvlText w:val="%6."/>
      <w:lvlJc w:val="right"/>
      <w:pPr>
        <w:ind w:left="3160" w:hanging="420"/>
      </w:pPr>
      <w:rPr>
        <w:rFonts w:hint="default"/>
        <w:u w:val="none"/>
      </w:rPr>
    </w:lvl>
    <w:lvl w:ilvl="6" w:tentative="0">
      <w:start w:val="1"/>
      <w:numFmt w:val="decimal"/>
      <w:lvlText w:val="%7."/>
      <w:lvlJc w:val="left"/>
      <w:pPr>
        <w:ind w:left="3580" w:hanging="420"/>
      </w:pPr>
      <w:rPr>
        <w:rFonts w:hint="default"/>
        <w:u w:val="none"/>
      </w:rPr>
    </w:lvl>
    <w:lvl w:ilvl="7" w:tentative="0">
      <w:start w:val="1"/>
      <w:numFmt w:val="lowerLetter"/>
      <w:lvlText w:val="%8)"/>
      <w:lvlJc w:val="left"/>
      <w:pPr>
        <w:ind w:left="4000" w:hanging="420"/>
      </w:pPr>
      <w:rPr>
        <w:rFonts w:hint="default"/>
        <w:u w:val="none"/>
      </w:rPr>
    </w:lvl>
    <w:lvl w:ilvl="8" w:tentative="0">
      <w:start w:val="1"/>
      <w:numFmt w:val="lowerRoman"/>
      <w:lvlText w:val="%9."/>
      <w:lvlJc w:val="right"/>
      <w:pPr>
        <w:ind w:left="4420" w:hanging="420"/>
      </w:pPr>
      <w:rPr>
        <w:rFonts w:hint="default"/>
        <w:u w:val="none"/>
      </w:rPr>
    </w:lvl>
  </w:abstractNum>
  <w:abstractNum w:abstractNumId="3">
    <w:nsid w:val="53D25D65"/>
    <w:multiLevelType w:val="multilevel"/>
    <w:tmpl w:val="53D25D65"/>
    <w:lvl w:ilvl="0" w:tentative="0">
      <w:start w:val="1"/>
      <w:numFmt w:val="japaneseCounting"/>
      <w:lvlText w:val="%1、"/>
      <w:lvlJc w:val="left"/>
      <w:pPr>
        <w:tabs>
          <w:tab w:val="left" w:pos="1395"/>
        </w:tabs>
        <w:ind w:left="1395" w:hanging="720"/>
      </w:pPr>
      <w:rPr>
        <w:rFonts w:hint="default"/>
        <w:b/>
        <w:u w:val="none"/>
      </w:rPr>
    </w:lvl>
    <w:lvl w:ilvl="1" w:tentative="0">
      <w:start w:val="1"/>
      <w:numFmt w:val="lowerLetter"/>
      <w:lvlText w:val="%2)"/>
      <w:lvlJc w:val="left"/>
      <w:pPr>
        <w:tabs>
          <w:tab w:val="left" w:pos="1515"/>
        </w:tabs>
        <w:ind w:left="1515" w:hanging="420"/>
      </w:pPr>
      <w:rPr>
        <w:rFonts w:hint="default"/>
        <w:u w:val="none"/>
      </w:rPr>
    </w:lvl>
    <w:lvl w:ilvl="2" w:tentative="0">
      <w:start w:val="1"/>
      <w:numFmt w:val="lowerRoman"/>
      <w:lvlText w:val="%3."/>
      <w:lvlJc w:val="right"/>
      <w:pPr>
        <w:tabs>
          <w:tab w:val="left" w:pos="1935"/>
        </w:tabs>
        <w:ind w:left="1935" w:hanging="420"/>
      </w:pPr>
      <w:rPr>
        <w:rFonts w:hint="default"/>
        <w:u w:val="none"/>
      </w:rPr>
    </w:lvl>
    <w:lvl w:ilvl="3" w:tentative="0">
      <w:start w:val="1"/>
      <w:numFmt w:val="decimal"/>
      <w:lvlText w:val="%4."/>
      <w:lvlJc w:val="left"/>
      <w:pPr>
        <w:tabs>
          <w:tab w:val="left" w:pos="2355"/>
        </w:tabs>
        <w:ind w:left="2355" w:hanging="420"/>
      </w:pPr>
      <w:rPr>
        <w:rFonts w:hint="default"/>
        <w:u w:val="none"/>
      </w:rPr>
    </w:lvl>
    <w:lvl w:ilvl="4" w:tentative="0">
      <w:start w:val="1"/>
      <w:numFmt w:val="lowerLetter"/>
      <w:lvlText w:val="%5)"/>
      <w:lvlJc w:val="left"/>
      <w:pPr>
        <w:tabs>
          <w:tab w:val="left" w:pos="2775"/>
        </w:tabs>
        <w:ind w:left="2775" w:hanging="420"/>
      </w:pPr>
      <w:rPr>
        <w:rFonts w:hint="default"/>
        <w:u w:val="none"/>
      </w:rPr>
    </w:lvl>
    <w:lvl w:ilvl="5" w:tentative="0">
      <w:start w:val="1"/>
      <w:numFmt w:val="lowerRoman"/>
      <w:lvlText w:val="%6."/>
      <w:lvlJc w:val="right"/>
      <w:pPr>
        <w:tabs>
          <w:tab w:val="left" w:pos="3195"/>
        </w:tabs>
        <w:ind w:left="3195" w:hanging="420"/>
      </w:pPr>
      <w:rPr>
        <w:rFonts w:hint="default"/>
        <w:u w:val="none"/>
      </w:rPr>
    </w:lvl>
    <w:lvl w:ilvl="6" w:tentative="0">
      <w:start w:val="1"/>
      <w:numFmt w:val="decimal"/>
      <w:lvlText w:val="%7."/>
      <w:lvlJc w:val="left"/>
      <w:pPr>
        <w:tabs>
          <w:tab w:val="left" w:pos="3615"/>
        </w:tabs>
        <w:ind w:left="3615" w:hanging="420"/>
      </w:pPr>
      <w:rPr>
        <w:rFonts w:hint="default"/>
        <w:u w:val="none"/>
      </w:rPr>
    </w:lvl>
    <w:lvl w:ilvl="7" w:tentative="0">
      <w:start w:val="1"/>
      <w:numFmt w:val="lowerLetter"/>
      <w:lvlText w:val="%8)"/>
      <w:lvlJc w:val="left"/>
      <w:pPr>
        <w:tabs>
          <w:tab w:val="left" w:pos="4035"/>
        </w:tabs>
        <w:ind w:left="4035" w:hanging="420"/>
      </w:pPr>
      <w:rPr>
        <w:rFonts w:hint="default"/>
        <w:u w:val="none"/>
      </w:rPr>
    </w:lvl>
    <w:lvl w:ilvl="8" w:tentative="0">
      <w:start w:val="1"/>
      <w:numFmt w:val="lowerRoman"/>
      <w:lvlText w:val="%9."/>
      <w:lvlJc w:val="right"/>
      <w:pPr>
        <w:tabs>
          <w:tab w:val="left" w:pos="4455"/>
        </w:tabs>
        <w:ind w:left="4455" w:hanging="420"/>
      </w:pPr>
      <w:rPr>
        <w:rFonts w:hint="default"/>
        <w:u w:val="none"/>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jgsImhkaWQiOiJlMzc4ZWExODcwZDUyNzU5YzhmYzUwMzYyMjA1ZWJjYyIsInVzZXJDb3VudCI6OH0="/>
    <w:docVar w:name="KSO_WPS_MARK_KEY" w:val="71c2c6a0-067b-4e3a-b3ef-0dc62715dcd3"/>
  </w:docVars>
  <w:rsids>
    <w:rsidRoot w:val="00172A27"/>
    <w:rsid w:val="000031F7"/>
    <w:rsid w:val="00014862"/>
    <w:rsid w:val="000349BA"/>
    <w:rsid w:val="000C393A"/>
    <w:rsid w:val="00125965"/>
    <w:rsid w:val="00144CC5"/>
    <w:rsid w:val="00172A27"/>
    <w:rsid w:val="00203288"/>
    <w:rsid w:val="00206EB2"/>
    <w:rsid w:val="00262CE0"/>
    <w:rsid w:val="002C2C3F"/>
    <w:rsid w:val="00310221"/>
    <w:rsid w:val="0034600F"/>
    <w:rsid w:val="00366EA1"/>
    <w:rsid w:val="004550B9"/>
    <w:rsid w:val="00473A26"/>
    <w:rsid w:val="00483998"/>
    <w:rsid w:val="004D1145"/>
    <w:rsid w:val="004E274E"/>
    <w:rsid w:val="004F23D0"/>
    <w:rsid w:val="004F5E71"/>
    <w:rsid w:val="0051575E"/>
    <w:rsid w:val="00522C51"/>
    <w:rsid w:val="00550130"/>
    <w:rsid w:val="005B2633"/>
    <w:rsid w:val="00657113"/>
    <w:rsid w:val="00663586"/>
    <w:rsid w:val="006C5D6E"/>
    <w:rsid w:val="007042CC"/>
    <w:rsid w:val="00704A9C"/>
    <w:rsid w:val="00757732"/>
    <w:rsid w:val="00786182"/>
    <w:rsid w:val="007B4464"/>
    <w:rsid w:val="00816BB2"/>
    <w:rsid w:val="008349E7"/>
    <w:rsid w:val="008414F6"/>
    <w:rsid w:val="00853F9E"/>
    <w:rsid w:val="00855E47"/>
    <w:rsid w:val="00896712"/>
    <w:rsid w:val="008E5668"/>
    <w:rsid w:val="009718A8"/>
    <w:rsid w:val="009D7927"/>
    <w:rsid w:val="009E6461"/>
    <w:rsid w:val="00A12180"/>
    <w:rsid w:val="00A66109"/>
    <w:rsid w:val="00B15320"/>
    <w:rsid w:val="00B170B0"/>
    <w:rsid w:val="00B20DC3"/>
    <w:rsid w:val="00B86E38"/>
    <w:rsid w:val="00BE1054"/>
    <w:rsid w:val="00BE7649"/>
    <w:rsid w:val="00C21492"/>
    <w:rsid w:val="00C418F5"/>
    <w:rsid w:val="00CE4C2D"/>
    <w:rsid w:val="00CE755E"/>
    <w:rsid w:val="00D25268"/>
    <w:rsid w:val="00D264B9"/>
    <w:rsid w:val="00D71400"/>
    <w:rsid w:val="00DA0B17"/>
    <w:rsid w:val="00DE4245"/>
    <w:rsid w:val="00DF42C4"/>
    <w:rsid w:val="00DF688D"/>
    <w:rsid w:val="00E039B0"/>
    <w:rsid w:val="00E35F22"/>
    <w:rsid w:val="00E40650"/>
    <w:rsid w:val="00E44B04"/>
    <w:rsid w:val="00E519C7"/>
    <w:rsid w:val="00E54036"/>
    <w:rsid w:val="00E669B9"/>
    <w:rsid w:val="00E818B1"/>
    <w:rsid w:val="00E86E79"/>
    <w:rsid w:val="00EB1655"/>
    <w:rsid w:val="00F242CA"/>
    <w:rsid w:val="00FC3F68"/>
    <w:rsid w:val="00FF453A"/>
    <w:rsid w:val="018E53BB"/>
    <w:rsid w:val="01B752BF"/>
    <w:rsid w:val="02F2691F"/>
    <w:rsid w:val="05273E55"/>
    <w:rsid w:val="06EB1AB6"/>
    <w:rsid w:val="099D6B31"/>
    <w:rsid w:val="09D56D5B"/>
    <w:rsid w:val="09FD66D9"/>
    <w:rsid w:val="10B242CF"/>
    <w:rsid w:val="11F4604E"/>
    <w:rsid w:val="136D16FB"/>
    <w:rsid w:val="13AA21BF"/>
    <w:rsid w:val="168D2D8B"/>
    <w:rsid w:val="1A3D2C72"/>
    <w:rsid w:val="216937C4"/>
    <w:rsid w:val="257C1CB8"/>
    <w:rsid w:val="298605CB"/>
    <w:rsid w:val="2CEF036C"/>
    <w:rsid w:val="32A31C4C"/>
    <w:rsid w:val="32B53CA7"/>
    <w:rsid w:val="33CD2241"/>
    <w:rsid w:val="34967CFD"/>
    <w:rsid w:val="39C2416B"/>
    <w:rsid w:val="3B744E3E"/>
    <w:rsid w:val="3DC91A1B"/>
    <w:rsid w:val="3F235BB1"/>
    <w:rsid w:val="3F663581"/>
    <w:rsid w:val="42A44BF6"/>
    <w:rsid w:val="4571549B"/>
    <w:rsid w:val="471274FD"/>
    <w:rsid w:val="49717ADD"/>
    <w:rsid w:val="4A51609B"/>
    <w:rsid w:val="4C194D3B"/>
    <w:rsid w:val="4D304C6C"/>
    <w:rsid w:val="4F2A6A41"/>
    <w:rsid w:val="500373A2"/>
    <w:rsid w:val="507C6383"/>
    <w:rsid w:val="53AD746D"/>
    <w:rsid w:val="561769D4"/>
    <w:rsid w:val="562F7F29"/>
    <w:rsid w:val="58D844B0"/>
    <w:rsid w:val="5A3E2240"/>
    <w:rsid w:val="5F4A1A8C"/>
    <w:rsid w:val="60075621"/>
    <w:rsid w:val="602001C2"/>
    <w:rsid w:val="60CE32E1"/>
    <w:rsid w:val="63E97E6D"/>
    <w:rsid w:val="649A7590"/>
    <w:rsid w:val="64C00985"/>
    <w:rsid w:val="65225D26"/>
    <w:rsid w:val="65DB5CBA"/>
    <w:rsid w:val="674E6C15"/>
    <w:rsid w:val="67636EEB"/>
    <w:rsid w:val="697609B2"/>
    <w:rsid w:val="69F4671F"/>
    <w:rsid w:val="6BA53F12"/>
    <w:rsid w:val="6CBF282C"/>
    <w:rsid w:val="6EAF509F"/>
    <w:rsid w:val="70E81256"/>
    <w:rsid w:val="73335BEE"/>
    <w:rsid w:val="734B3BFA"/>
    <w:rsid w:val="73753308"/>
    <w:rsid w:val="743444A4"/>
    <w:rsid w:val="74B61AFD"/>
    <w:rsid w:val="76F41008"/>
    <w:rsid w:val="79442C5B"/>
    <w:rsid w:val="7A3B2114"/>
    <w:rsid w:val="7BB011B5"/>
    <w:rsid w:val="7C2A2F43"/>
    <w:rsid w:val="7EAD4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7"/>
    <w:unhideWhenUsed/>
    <w:qFormat/>
    <w:uiPriority w:val="99"/>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table" w:styleId="7">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9">
    <w:name w:val="页脚 Char"/>
    <w:basedOn w:val="8"/>
    <w:link w:val="4"/>
    <w:qFormat/>
    <w:uiPriority w:val="99"/>
    <w:rPr>
      <w:kern w:val="2"/>
      <w:sz w:val="18"/>
      <w:szCs w:val="18"/>
    </w:rPr>
  </w:style>
  <w:style w:type="character" w:customStyle="1" w:styleId="10">
    <w:name w:val="页眉 Char"/>
    <w:basedOn w:val="8"/>
    <w:link w:val="5"/>
    <w:qFormat/>
    <w:uiPriority w:val="0"/>
    <w:rPr>
      <w:kern w:val="2"/>
      <w:sz w:val="18"/>
      <w:szCs w:val="18"/>
    </w:rPr>
  </w:style>
  <w:style w:type="character" w:customStyle="1" w:styleId="11">
    <w:name w:val="font11"/>
    <w:basedOn w:val="8"/>
    <w:qFormat/>
    <w:uiPriority w:val="0"/>
    <w:rPr>
      <w:rFonts w:hint="eastAsia" w:ascii="宋体" w:hAnsi="宋体" w:eastAsia="宋体" w:cs="宋体"/>
      <w:color w:val="000000"/>
      <w:sz w:val="20"/>
      <w:szCs w:val="20"/>
      <w:u w:val="none"/>
    </w:rPr>
  </w:style>
  <w:style w:type="character" w:customStyle="1" w:styleId="12">
    <w:name w:val="font01"/>
    <w:basedOn w:val="8"/>
    <w:qFormat/>
    <w:uiPriority w:val="0"/>
    <w:rPr>
      <w:rFonts w:hint="eastAsia" w:ascii="宋体" w:hAnsi="宋体" w:eastAsia="宋体" w:cs="宋体"/>
      <w:color w:val="000000"/>
      <w:sz w:val="22"/>
      <w:szCs w:val="22"/>
      <w:u w:val="none"/>
    </w:rPr>
  </w:style>
  <w:style w:type="character" w:customStyle="1" w:styleId="13">
    <w:name w:val="font41"/>
    <w:basedOn w:val="8"/>
    <w:qFormat/>
    <w:uiPriority w:val="0"/>
    <w:rPr>
      <w:rFonts w:hint="eastAsia" w:ascii="宋体" w:hAnsi="宋体" w:eastAsia="宋体" w:cs="宋体"/>
      <w:color w:val="000000"/>
      <w:sz w:val="24"/>
      <w:szCs w:val="24"/>
      <w:u w:val="none"/>
    </w:rPr>
  </w:style>
  <w:style w:type="character" w:customStyle="1" w:styleId="14">
    <w:name w:val="font31"/>
    <w:basedOn w:val="8"/>
    <w:qFormat/>
    <w:uiPriority w:val="0"/>
    <w:rPr>
      <w:rFonts w:hint="eastAsia" w:ascii="华文中宋" w:hAnsi="华文中宋" w:eastAsia="华文中宋" w:cs="华文中宋"/>
      <w:color w:val="000000"/>
      <w:sz w:val="32"/>
      <w:szCs w:val="32"/>
      <w:u w:val="none"/>
    </w:rPr>
  </w:style>
  <w:style w:type="character" w:customStyle="1" w:styleId="15">
    <w:name w:val="font91"/>
    <w:basedOn w:val="8"/>
    <w:qFormat/>
    <w:uiPriority w:val="0"/>
    <w:rPr>
      <w:rFonts w:hint="eastAsia" w:ascii="华文中宋" w:hAnsi="华文中宋" w:eastAsia="华文中宋" w:cs="华文中宋"/>
      <w:color w:val="000000"/>
      <w:sz w:val="32"/>
      <w:szCs w:val="32"/>
      <w:u w:val="none"/>
    </w:rPr>
  </w:style>
  <w:style w:type="character" w:customStyle="1" w:styleId="16">
    <w:name w:val="font51"/>
    <w:basedOn w:val="8"/>
    <w:qFormat/>
    <w:uiPriority w:val="0"/>
    <w:rPr>
      <w:rFonts w:hint="eastAsia" w:ascii="宋体" w:hAnsi="宋体" w:eastAsia="宋体" w:cs="宋体"/>
      <w:color w:val="000000"/>
      <w:sz w:val="24"/>
      <w:szCs w:val="24"/>
      <w:u w:val="none"/>
    </w:rPr>
  </w:style>
  <w:style w:type="character" w:customStyle="1" w:styleId="17">
    <w:name w:val="批注框文本 Char"/>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5.xml"/><Relationship Id="rId18" Type="http://schemas.openxmlformats.org/officeDocument/2006/relationships/chart" Target="charts/chart4.xml"/><Relationship Id="rId17" Type="http://schemas.openxmlformats.org/officeDocument/2006/relationships/chart" Target="charts/chart3.xml"/><Relationship Id="rId16" Type="http://schemas.openxmlformats.org/officeDocument/2006/relationships/chart" Target="charts/chart2.xml"/><Relationship Id="rId15" Type="http://schemas.openxmlformats.org/officeDocument/2006/relationships/chart" Target="charts/chart1.xml"/><Relationship Id="rId14" Type="http://schemas.openxmlformats.org/officeDocument/2006/relationships/image" Target="media/image6.jpeg"/><Relationship Id="rId13" Type="http://schemas.openxmlformats.org/officeDocument/2006/relationships/image" Target="media/image5.sv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2022-2023</a:t>
            </a:r>
            <a:r>
              <a:rPr altLang="en-US"/>
              <a:t>年</a:t>
            </a:r>
            <a:r>
              <a:t>收支总计对比情况</a:t>
            </a:r>
          </a:p>
        </c:rich>
      </c:tx>
      <c:layout>
        <c:manualLayout>
          <c:xMode val="edge"/>
          <c:yMode val="edge"/>
          <c:x val="0.276842105263158"/>
          <c:y val="0.03125"/>
        </c:manualLayout>
      </c:layout>
      <c:overlay val="0"/>
      <c:spPr>
        <a:noFill/>
        <a:ln>
          <a:noFill/>
        </a:ln>
        <a:effectLst/>
      </c:spPr>
    </c:title>
    <c:autoTitleDeleted val="0"/>
    <c:plotArea>
      <c:layout/>
      <c:barChart>
        <c:barDir val="col"/>
        <c:grouping val="clustered"/>
        <c:varyColors val="0"/>
        <c:ser>
          <c:idx val="0"/>
          <c:order val="0"/>
          <c:tx>
            <c:strRef>
              <c:f>[工作簿1]Sheet1!$D$3</c:f>
              <c:strCache>
                <c:ptCount val="1"/>
                <c:pt idx="0">
                  <c:v>收支总计</c:v>
                </c:pt>
              </c:strCache>
            </c:strRef>
          </c:tx>
          <c:spPr>
            <a:solidFill>
              <a:schemeClr val="accent1"/>
            </a:solidFill>
            <a:ln>
              <a:noFill/>
            </a:ln>
            <a:effectLst/>
          </c:spPr>
          <c:invertIfNegative val="0"/>
          <c:dLbls>
            <c:delete val="1"/>
          </c:dLbls>
          <c:cat>
            <c:strRef>
              <c:f>[工作簿1]Sheet1!$C$4:$C$5</c:f>
              <c:strCache>
                <c:ptCount val="2"/>
                <c:pt idx="0">
                  <c:v>2022年</c:v>
                </c:pt>
                <c:pt idx="1">
                  <c:v>2023年</c:v>
                </c:pt>
              </c:strCache>
            </c:strRef>
          </c:cat>
          <c:val>
            <c:numRef>
              <c:f>[工作簿1]Sheet1!$D$4:$D$5</c:f>
              <c:numCache>
                <c:formatCode>General</c:formatCode>
                <c:ptCount val="2"/>
                <c:pt idx="0">
                  <c:v>10327.7</c:v>
                </c:pt>
                <c:pt idx="1">
                  <c:v>9761.01</c:v>
                </c:pt>
              </c:numCache>
            </c:numRef>
          </c:val>
        </c:ser>
        <c:dLbls>
          <c:showLegendKey val="0"/>
          <c:showVal val="0"/>
          <c:showCatName val="0"/>
          <c:showSerName val="0"/>
          <c:showPercent val="0"/>
          <c:showBubbleSize val="0"/>
        </c:dLbls>
        <c:gapWidth val="246"/>
        <c:overlap val="-28"/>
        <c:axId val="817861219"/>
        <c:axId val="408487641"/>
      </c:barChart>
      <c:catAx>
        <c:axId val="81786121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487641"/>
        <c:crosses val="autoZero"/>
        <c:auto val="1"/>
        <c:lblAlgn val="ctr"/>
        <c:lblOffset val="100"/>
        <c:noMultiLvlLbl val="0"/>
      </c:catAx>
      <c:valAx>
        <c:axId val="40848764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786121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收入构成情况</a:t>
            </a:r>
          </a:p>
        </c:rich>
      </c:tx>
      <c:layout/>
      <c:overlay val="0"/>
      <c:spPr>
        <a:noFill/>
        <a:ln>
          <a:noFill/>
        </a:ln>
        <a:effectLst/>
      </c:spPr>
    </c:title>
    <c:autoTitleDeleted val="0"/>
    <c:plotArea>
      <c:layout/>
      <c:pieChart>
        <c:varyColors val="1"/>
        <c:ser>
          <c:idx val="0"/>
          <c:order val="0"/>
          <c:tx>
            <c:strRef>
              <c:f>[工作簿1]Sheet1!$C$31</c:f>
              <c:strCache>
                <c:ptCount val="1"/>
                <c:pt idx="0">
                  <c:v>金额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4"/>
              </a:solidFill>
              <a:ln>
                <a:solidFill>
                  <a:schemeClr val="bg1"/>
                </a:solidFill>
              </a:ln>
              <a:effectLst/>
            </c:spPr>
          </c:dPt>
          <c:dLbls>
            <c:dLbl>
              <c:idx val="0"/>
              <c:layout>
                <c:manualLayout>
                  <c:x val="0.0640891332031018"/>
                  <c:y val="0.031698048654427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161994869964302"/>
                  <c:y val="-0.230134008377007"/>
                </c:manualLayout>
              </c:layout>
              <c:dLblPos val="bestFit"/>
              <c:showLegendKey val="0"/>
              <c:showVal val="0"/>
              <c:showCatName val="0"/>
              <c:showSerName val="0"/>
              <c:showPercent val="1"/>
              <c:showBubbleSize val="0"/>
              <c:extLst>
                <c:ext xmlns:c15="http://schemas.microsoft.com/office/drawing/2012/chart" uri="{CE6537A1-D6FC-4f65-9D91-7224C49458BB}">
                  <c15:layout>
                    <c:manualLayout>
                      <c:w val="0.128552631578947"/>
                      <c:h val="0.132407407407407"/>
                    </c:manualLayout>
                  </c15:layout>
                </c:ext>
              </c:extLst>
            </c:dLbl>
            <c:dLbl>
              <c:idx val="2"/>
              <c:layout>
                <c:manualLayout>
                  <c:x val="-0.0798738483255222"/>
                  <c:y val="0.035444846277295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[工作簿1]Sheet1!$D$30:$F$30</c:f>
              <c:strCache>
                <c:ptCount val="3"/>
                <c:pt idx="0">
                  <c:v>财政拨款收入</c:v>
                </c:pt>
                <c:pt idx="1">
                  <c:v>事业收入</c:v>
                </c:pt>
                <c:pt idx="2">
                  <c:v>其他收入</c:v>
                </c:pt>
              </c:strCache>
            </c:strRef>
          </c:cat>
          <c:val>
            <c:numRef>
              <c:f>[工作簿1]Sheet1!$D$31:$F$31</c:f>
              <c:numCache>
                <c:formatCode>#,##0.00</c:formatCode>
                <c:ptCount val="3"/>
                <c:pt idx="0">
                  <c:v>325.59</c:v>
                </c:pt>
                <c:pt idx="1">
                  <c:v>9143.47</c:v>
                </c:pt>
                <c:pt idx="2">
                  <c:v>233.32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支出构成情况</a:t>
            </a:r>
          </a:p>
        </c:rich>
      </c:tx>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tx>
            <c:strRef>
              <c:f>[工作簿1]Sheet1!$C$58</c:f>
              <c:strCache>
                <c:ptCount val="1"/>
                <c:pt idx="0">
                  <c:v>金额</c:v>
                </c:pt>
              </c:strCache>
            </c:strRef>
          </c:tx>
          <c:spPr>
            <a:scene3d>
              <a:camera prst="orthographicFront"/>
              <a:lightRig rig="threePt" dir="t"/>
            </a:scene3d>
            <a:sp3d contourW="9525"/>
          </c:spPr>
          <c:explosion val="0"/>
          <c:dPt>
            <c:idx val="0"/>
            <c:bubble3D val="0"/>
            <c:spPr>
              <a:solidFill>
                <a:schemeClr val="accent1"/>
              </a:solidFill>
              <a:ln>
                <a:solidFill>
                  <a:schemeClr val="bg1"/>
                </a:solidFill>
              </a:ln>
              <a:effectLst/>
              <a:scene3d>
                <a:camera prst="orthographicFront"/>
                <a:lightRig rig="threePt" dir="t"/>
              </a:scene3d>
              <a:sp3d contourW="9525"/>
            </c:spPr>
          </c:dPt>
          <c:dPt>
            <c:idx val="1"/>
            <c:bubble3D val="0"/>
            <c:spPr>
              <a:solidFill>
                <a:schemeClr val="accent2"/>
              </a:solidFill>
              <a:ln>
                <a:solidFill>
                  <a:schemeClr val="bg1"/>
                </a:solidFill>
              </a:ln>
              <a:effectLst/>
              <a:scene3d>
                <a:camera prst="orthographicFront"/>
                <a:lightRig rig="threePt" dir="t"/>
              </a:scene3d>
              <a:sp3d contourW="9525"/>
            </c:spPr>
          </c:dPt>
          <c:dLbls>
            <c:dLbl>
              <c:idx val="0"/>
              <c:layout>
                <c:manualLayout>
                  <c:x val="-0.186234883186117"/>
                  <c:y val="0.0776113234521694"/>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基本支出</a:t>
                    </a:r>
                  </a:p>
                  <a:p>
                    <a:pPr defTabSz="914400">
                      <a:defRPr lang="zh-CN" sz="1000" b="0" i="0" u="none" strike="noStrike" kern="1200" baseline="0">
                        <a:solidFill>
                          <a:schemeClr val="tx1">
                            <a:lumMod val="75000"/>
                            <a:lumOff val="25000"/>
                          </a:schemeClr>
                        </a:solidFill>
                        <a:latin typeface="+mn-lt"/>
                        <a:ea typeface="+mn-ea"/>
                        <a:cs typeface="+mn-cs"/>
                      </a:defRPr>
                    </a:pPr>
                    <a:r>
                      <a:t>41%</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148421052631579"/>
                      <c:h val="0.165740740740741"/>
                    </c:manualLayout>
                  </c15:layout>
                </c:ext>
              </c:extLst>
            </c:dLbl>
            <c:dLbl>
              <c:idx val="1"/>
              <c:layout>
                <c:manualLayout>
                  <c:x val="0.225108433277316"/>
                  <c:y val="-0.19504763985694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项目支出</a:t>
                    </a:r>
                  </a:p>
                  <a:p>
                    <a:pPr defTabSz="914400">
                      <a:defRPr lang="zh-CN" sz="1000" b="0" i="0" u="none" strike="noStrike" kern="1200" baseline="0">
                        <a:solidFill>
                          <a:schemeClr val="tx1">
                            <a:lumMod val="75000"/>
                            <a:lumOff val="25000"/>
                          </a:schemeClr>
                        </a:solidFill>
                        <a:latin typeface="+mn-lt"/>
                        <a:ea typeface="+mn-ea"/>
                        <a:cs typeface="+mn-cs"/>
                      </a:defRPr>
                    </a:pPr>
                    <a:r>
                      <a:t>59%</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176447368421053"/>
                      <c:h val="0.176851851851852"/>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[工作簿1]Sheet1!$D$57:$E$57</c:f>
              <c:strCache>
                <c:ptCount val="2"/>
                <c:pt idx="0">
                  <c:v>基本支出</c:v>
                </c:pt>
                <c:pt idx="1">
                  <c:v>项目支出</c:v>
                </c:pt>
              </c:strCache>
            </c:strRef>
          </c:cat>
          <c:val>
            <c:numRef>
              <c:f>[工作簿1]Sheet1!$D$58:$E$58</c:f>
              <c:numCache>
                <c:formatCode>#,##0.00</c:formatCode>
                <c:ptCount val="2"/>
                <c:pt idx="0">
                  <c:v>3957.02</c:v>
                </c:pt>
                <c:pt idx="1">
                  <c:v>5659.24</c:v>
                </c:pt>
              </c:numCache>
            </c:numRef>
          </c:val>
        </c:ser>
        <c:dLbls>
          <c:showLegendKey val="0"/>
          <c:showVal val="0"/>
          <c:showCatName val="0"/>
          <c:showSerName val="0"/>
          <c:showPercent val="1"/>
          <c:showBubbleSize val="0"/>
        </c:dLbls>
      </c:pie3DChart>
      <c:spPr>
        <a:noFill/>
        <a:ln>
          <a:noFill/>
        </a:ln>
        <a:effectLst/>
      </c:spPr>
    </c:plotArea>
    <c:legend>
      <c:legendPos val="b"/>
      <c:layout>
        <c:manualLayout>
          <c:xMode val="edge"/>
          <c:yMode val="edge"/>
          <c:x val="0.376381578947368"/>
          <c:y val="0.89513888888888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财政拨款收支较上年决算对比情况</a:t>
            </a:r>
          </a:p>
        </c:rich>
      </c:tx>
      <c:layout/>
      <c:overlay val="0"/>
      <c:spPr>
        <a:noFill/>
        <a:ln>
          <a:noFill/>
        </a:ln>
        <a:effectLst/>
      </c:spPr>
    </c:title>
    <c:autoTitleDeleted val="0"/>
    <c:plotArea>
      <c:layout/>
      <c:barChart>
        <c:barDir val="col"/>
        <c:grouping val="clustered"/>
        <c:varyColors val="0"/>
        <c:ser>
          <c:idx val="0"/>
          <c:order val="0"/>
          <c:tx>
            <c:strRef>
              <c:f>[工作簿1]Sheet2!$B$4</c:f>
              <c:strCache>
                <c:ptCount val="1"/>
                <c:pt idx="0">
                  <c:v>2023年</c:v>
                </c:pt>
              </c:strCache>
            </c:strRef>
          </c:tx>
          <c:spPr>
            <a:solidFill>
              <a:schemeClr val="accent1"/>
            </a:solidFill>
            <a:ln>
              <a:noFill/>
            </a:ln>
            <a:effectLst/>
          </c:spPr>
          <c:invertIfNegative val="0"/>
          <c:dLbls>
            <c:delete val="1"/>
          </c:dLbls>
          <c:cat>
            <c:strRef>
              <c:f>[工作簿1]Sheet2!$C$3:$D$3</c:f>
              <c:strCache>
                <c:ptCount val="2"/>
                <c:pt idx="0">
                  <c:v>财政拨款收入</c:v>
                </c:pt>
                <c:pt idx="1">
                  <c:v>财政拨款支出</c:v>
                </c:pt>
              </c:strCache>
            </c:strRef>
          </c:cat>
          <c:val>
            <c:numRef>
              <c:f>[工作簿1]Sheet2!$C$4:$D$4</c:f>
              <c:numCache>
                <c:formatCode>General</c:formatCode>
                <c:ptCount val="2"/>
                <c:pt idx="0">
                  <c:v>325.59</c:v>
                </c:pt>
                <c:pt idx="1">
                  <c:v>384.23</c:v>
                </c:pt>
              </c:numCache>
            </c:numRef>
          </c:val>
        </c:ser>
        <c:ser>
          <c:idx val="1"/>
          <c:order val="1"/>
          <c:tx>
            <c:strRef>
              <c:f>[工作簿1]Sheet2!$B$5</c:f>
              <c:strCache>
                <c:ptCount val="1"/>
                <c:pt idx="0">
                  <c:v>2022年</c:v>
                </c:pt>
              </c:strCache>
            </c:strRef>
          </c:tx>
          <c:spPr>
            <a:solidFill>
              <a:schemeClr val="accent2"/>
            </a:solidFill>
            <a:ln>
              <a:noFill/>
            </a:ln>
            <a:effectLst/>
          </c:spPr>
          <c:invertIfNegative val="0"/>
          <c:dLbls>
            <c:delete val="1"/>
          </c:dLbls>
          <c:cat>
            <c:strRef>
              <c:f>[工作簿1]Sheet2!$C$3:$D$3</c:f>
              <c:strCache>
                <c:ptCount val="2"/>
                <c:pt idx="0">
                  <c:v>财政拨款收入</c:v>
                </c:pt>
                <c:pt idx="1">
                  <c:v>财政拨款支出</c:v>
                </c:pt>
              </c:strCache>
            </c:strRef>
          </c:cat>
          <c:val>
            <c:numRef>
              <c:f>[工作簿1]Sheet2!$C$5:$D$5</c:f>
              <c:numCache>
                <c:formatCode>General</c:formatCode>
                <c:ptCount val="2"/>
                <c:pt idx="0">
                  <c:v>925.38</c:v>
                </c:pt>
                <c:pt idx="1">
                  <c:v>851.53</c:v>
                </c:pt>
              </c:numCache>
            </c:numRef>
          </c:val>
        </c:ser>
        <c:dLbls>
          <c:showLegendKey val="0"/>
          <c:showVal val="0"/>
          <c:showCatName val="0"/>
          <c:showSerName val="0"/>
          <c:showPercent val="0"/>
          <c:showBubbleSize val="0"/>
        </c:dLbls>
        <c:gapWidth val="246"/>
        <c:overlap val="-28"/>
        <c:axId val="440057994"/>
        <c:axId val="713388691"/>
      </c:barChart>
      <c:catAx>
        <c:axId val="44005799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3388691"/>
        <c:crosses val="autoZero"/>
        <c:auto val="1"/>
        <c:lblAlgn val="ctr"/>
        <c:lblOffset val="100"/>
        <c:noMultiLvlLbl val="0"/>
      </c:catAx>
      <c:valAx>
        <c:axId val="71338869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005799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财政拨款收支与年初预算对比情况</a:t>
            </a:r>
          </a:p>
        </c:rich>
      </c:tx>
      <c:layout/>
      <c:overlay val="0"/>
      <c:spPr>
        <a:noFill/>
        <a:ln>
          <a:noFill/>
        </a:ln>
        <a:effectLst/>
      </c:spPr>
    </c:title>
    <c:autoTitleDeleted val="0"/>
    <c:plotArea>
      <c:layout/>
      <c:barChart>
        <c:barDir val="col"/>
        <c:grouping val="clustered"/>
        <c:varyColors val="0"/>
        <c:ser>
          <c:idx val="0"/>
          <c:order val="0"/>
          <c:tx>
            <c:strRef>
              <c:f>[工作簿1]Sheet2!$B$32</c:f>
              <c:strCache>
                <c:ptCount val="1"/>
                <c:pt idx="0">
                  <c:v>预算</c:v>
                </c:pt>
              </c:strCache>
            </c:strRef>
          </c:tx>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[工作簿1]Sheet2!$C$31:$D$31</c:f>
              <c:strCache>
                <c:ptCount val="2"/>
                <c:pt idx="0">
                  <c:v>财政拨款收入</c:v>
                </c:pt>
                <c:pt idx="1">
                  <c:v>财政拨款支出</c:v>
                </c:pt>
              </c:strCache>
            </c:strRef>
          </c:cat>
          <c:val>
            <c:numRef>
              <c:f>[工作簿1]Sheet2!$C$32:$D$32</c:f>
              <c:numCache>
                <c:formatCode>General</c:formatCode>
                <c:ptCount val="2"/>
                <c:pt idx="0">
                  <c:v>3193.03</c:v>
                </c:pt>
                <c:pt idx="1">
                  <c:v>3193.03</c:v>
                </c:pt>
              </c:numCache>
            </c:numRef>
          </c:val>
        </c:ser>
        <c:ser>
          <c:idx val="1"/>
          <c:order val="1"/>
          <c:tx>
            <c:strRef>
              <c:f>[工作簿1]Sheet2!$B$33</c:f>
              <c:strCache>
                <c:ptCount val="1"/>
                <c:pt idx="0">
                  <c:v>决算</c:v>
                </c:pt>
              </c:strCache>
            </c:strRef>
          </c:tx>
          <c:spPr>
            <a:gradFill>
              <a:gsLst>
                <a:gs pos="0">
                  <a:schemeClr val="accent2">
                    <a:lumMod val="40000"/>
                    <a:lumOff val="60000"/>
                  </a:schemeClr>
                </a:gs>
                <a:gs pos="90000">
                  <a:schemeClr val="accent2"/>
                </a:gs>
              </a:gsLst>
              <a:lin ang="5400000" scaled="0"/>
            </a:gradFill>
            <a:ln>
              <a:gradFill>
                <a:gsLst>
                  <a:gs pos="0">
                    <a:schemeClr val="accent2"/>
                  </a:gs>
                  <a:gs pos="100000">
                    <a:schemeClr val="accent2">
                      <a:lumMod val="75000"/>
                    </a:schemeClr>
                  </a:gs>
                </a:gsLst>
                <a:lin ang="5400000" scaled="1"/>
              </a:gradFill>
            </a:ln>
            <a:effectLst>
              <a:outerShdw blurRad="76200" dist="25400" dir="2700000" algn="tl" rotWithShape="0">
                <a:schemeClr val="accent2">
                  <a:lumMod val="50000"/>
                  <a:alpha val="30000"/>
                </a:scheme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[工作簿1]Sheet2!$C$31:$D$31</c:f>
              <c:strCache>
                <c:ptCount val="2"/>
                <c:pt idx="0">
                  <c:v>财政拨款收入</c:v>
                </c:pt>
                <c:pt idx="1">
                  <c:v>财政拨款支出</c:v>
                </c:pt>
              </c:strCache>
            </c:strRef>
          </c:cat>
          <c:val>
            <c:numRef>
              <c:f>[工作簿1]Sheet2!$C$33:$D$33</c:f>
              <c:numCache>
                <c:formatCode>General</c:formatCode>
                <c:ptCount val="2"/>
                <c:pt idx="0">
                  <c:v>325.59</c:v>
                </c:pt>
                <c:pt idx="1">
                  <c:v>384.23</c:v>
                </c:pt>
              </c:numCache>
            </c:numRef>
          </c:val>
        </c:ser>
        <c:dLbls>
          <c:showLegendKey val="0"/>
          <c:showVal val="1"/>
          <c:showCatName val="0"/>
          <c:showSerName val="0"/>
          <c:showPercent val="0"/>
          <c:showBubbleSize val="0"/>
        </c:dLbls>
        <c:gapWidth val="246"/>
        <c:overlap val="-28"/>
        <c:axId val="334522459"/>
        <c:axId val="277109505"/>
      </c:barChart>
      <c:catAx>
        <c:axId val="33452245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7109505"/>
        <c:crosses val="autoZero"/>
        <c:auto val="1"/>
        <c:lblAlgn val="ctr"/>
        <c:lblOffset val="100"/>
        <c:noMultiLvlLbl val="0"/>
      </c:catAx>
      <c:valAx>
        <c:axId val="27710950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452245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9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styleClr val="auto"/>
    </cs:lnRef>
    <cs:fillRef idx="1">
      <cs:styleClr val="auto"/>
    </cs:fillRef>
    <cs:effectRef idx="0"/>
    <cs:fontRef idx="minor">
      <a:schemeClr val="dk1"/>
    </cs:fontRef>
    <cs:spPr>
      <a:ln>
        <a:solidFill>
          <a:schemeClr val="bg1"/>
        </a:solidFill>
      </a:ln>
      <a:effectLst/>
      <a:scene3d>
        <a:camera prst="orthographicFront"/>
        <a:lightRig rig="threePt" dir="t"/>
      </a:scene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97ABCA-4227-4EFF-8EB9-5F1F21DB3EB7}">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27</Pages>
  <Words>7903</Words>
  <Characters>9284</Characters>
  <Lines>86</Lines>
  <Paragraphs>24</Paragraphs>
  <TotalTime>20</TotalTime>
  <ScaleCrop>false</ScaleCrop>
  <LinksUpToDate>false</LinksUpToDate>
  <CharactersWithSpaces>9683</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2023-08-04T07:55:00Z</dcterms:created>
  <dc:creator>王明新TIAD</dc:creator>
  <cp:lastModifiedBy>Administrator</cp:lastModifiedBy>
  <cp:lastPrinted>2023-08-04T01:00:00Z</cp:lastPrinted>
  <dcterms:modified xsi:type="dcterms:W3CDTF">2024-09-25T01:38:09Z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KSOTemplateUUID">
    <vt:lpwstr>v1.0_mb_S7ajbG3IpAnL1wSthNCxfw==</vt:lpwstr>
  </property>
  <property fmtid="{D5CDD505-2E9C-101B-9397-08002B2CF9AE}" pid="4" name="ICV">
    <vt:lpwstr>6388C71828994EE68F92E15B0CED978C</vt:lpwstr>
  </property>
</Properties>
</file>